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E957" w14:textId="77777777" w:rsidR="00903E7A" w:rsidRPr="00A6699D" w:rsidRDefault="00903E7A" w:rsidP="009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" w:hAnsi="Times"/>
          <w:b/>
          <w:lang w:val="en-US"/>
        </w:rPr>
      </w:pPr>
      <w:r w:rsidRPr="00A6699D">
        <w:rPr>
          <w:rFonts w:ascii="Times" w:hAnsi="Times"/>
          <w:b/>
          <w:lang w:val="en-US"/>
        </w:rPr>
        <w:t xml:space="preserve">Table </w:t>
      </w:r>
      <w:r>
        <w:rPr>
          <w:rFonts w:ascii="Times" w:hAnsi="Times"/>
          <w:b/>
          <w:lang w:val="en-US"/>
        </w:rPr>
        <w:t>S</w:t>
      </w:r>
      <w:r w:rsidRPr="00A6699D">
        <w:rPr>
          <w:rFonts w:ascii="Times" w:hAnsi="Times"/>
          <w:b/>
          <w:lang w:val="en-US"/>
        </w:rPr>
        <w:t>2</w:t>
      </w:r>
    </w:p>
    <w:p w14:paraId="63B5AA03" w14:textId="77777777" w:rsidR="00903E7A" w:rsidRPr="00A6699D" w:rsidRDefault="00903E7A" w:rsidP="0090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" w:hAnsi="Times"/>
          <w:sz w:val="16"/>
          <w:lang w:val="en-US"/>
        </w:rPr>
      </w:pPr>
      <w:r w:rsidRPr="00A6699D">
        <w:rPr>
          <w:rFonts w:ascii="Times" w:hAnsi="Times"/>
          <w:lang w:val="en-US"/>
        </w:rPr>
        <w:t xml:space="preserve"> </w:t>
      </w:r>
    </w:p>
    <w:tbl>
      <w:tblPr>
        <w:tblStyle w:val="Grille"/>
        <w:tblW w:w="0" w:type="auto"/>
        <w:tblLayout w:type="fixed"/>
        <w:tblLook w:val="0000" w:firstRow="0" w:lastRow="0" w:firstColumn="0" w:lastColumn="0" w:noHBand="0" w:noVBand="0"/>
      </w:tblPr>
      <w:tblGrid>
        <w:gridCol w:w="2440"/>
        <w:gridCol w:w="4608"/>
        <w:gridCol w:w="2008"/>
      </w:tblGrid>
      <w:tr w:rsidR="00903E7A" w:rsidRPr="00A6699D" w14:paraId="22277715" w14:textId="77777777" w:rsidTr="00333917">
        <w:trPr>
          <w:trHeight w:val="255"/>
        </w:trPr>
        <w:tc>
          <w:tcPr>
            <w:tcW w:w="2440" w:type="dxa"/>
            <w:vAlign w:val="center"/>
          </w:tcPr>
          <w:p w14:paraId="4B481526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Strain number</w:t>
            </w:r>
          </w:p>
        </w:tc>
        <w:tc>
          <w:tcPr>
            <w:tcW w:w="4608" w:type="dxa"/>
            <w:vAlign w:val="center"/>
          </w:tcPr>
          <w:p w14:paraId="27602767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vertAlign w:val="superscript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Genotype/relevant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feature</w:t>
            </w:r>
            <w:r w:rsidRPr="00A6699D">
              <w:rPr>
                <w:rFonts w:ascii="Times" w:hAnsi="Times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008" w:type="dxa"/>
            <w:vAlign w:val="center"/>
          </w:tcPr>
          <w:p w14:paraId="2ED450AB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Reference</w:t>
            </w:r>
          </w:p>
        </w:tc>
      </w:tr>
      <w:tr w:rsidR="00903E7A" w:rsidRPr="00A6699D" w14:paraId="2E89E98C" w14:textId="77777777" w:rsidTr="00333917">
        <w:trPr>
          <w:trHeight w:val="255"/>
        </w:trPr>
        <w:tc>
          <w:tcPr>
            <w:tcW w:w="2440" w:type="dxa"/>
            <w:vAlign w:val="center"/>
          </w:tcPr>
          <w:p w14:paraId="5F1014A1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R800</w:t>
            </w:r>
          </w:p>
        </w:tc>
        <w:tc>
          <w:tcPr>
            <w:tcW w:w="4608" w:type="dxa"/>
            <w:vAlign w:val="center"/>
          </w:tcPr>
          <w:p w14:paraId="06F44094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R6 derivative</w:t>
            </w:r>
          </w:p>
        </w:tc>
        <w:tc>
          <w:tcPr>
            <w:tcW w:w="2008" w:type="dxa"/>
            <w:vAlign w:val="center"/>
          </w:tcPr>
          <w:p w14:paraId="635E2A4E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" w:hAnsi="Times"/>
                <w:sz w:val="16"/>
                <w:szCs w:val="16"/>
                <w:lang w:val="en-US"/>
              </w:rPr>
              <w:instrText xml:space="preserve"> ADDIN EN.CITE &lt;EndNote&gt;&lt;Cite&gt;&lt;Author&gt;Lefevre&lt;/Author&gt;&lt;Year&gt;1979&lt;/Year&gt;&lt;RecNum&gt;173&lt;/RecNum&gt;&lt;DisplayText&gt;[1]&lt;/DisplayText&gt;&lt;record&gt;&lt;rec-number&gt;173&lt;/rec-number&gt;&lt;foreign-keys&gt;&lt;key app="EN" db-id="sp9t9f5dbewwtse0aafxwt2k29ft000ffwx0"&gt;173&lt;/key&gt;&lt;/foreign-keys&gt;&lt;ref-type name="Journal Article"&gt;17&lt;/ref-type&gt;&lt;contributors&gt;&lt;authors&gt;&lt;author&gt;Lefevre, J. C.&lt;/author&gt;&lt;author&gt;Claverys, J. P.&lt;/author&gt;&lt;author&gt;Sicard, A. M.&lt;/author&gt;&lt;/authors&gt;&lt;/contributors&gt;&lt;titles&gt;&lt;title&gt;Donor deoxyribonucleic acid length and marker effect in pneumococcal transformation&lt;/title&gt;&lt;secondary-title&gt;Journal of bacteriology&lt;/secondary-title&gt;&lt;alt-title&gt;J Bacteriol&lt;/alt-title&gt;&lt;/titles&gt;&lt;pages&gt;80-6&lt;/pages&gt;&lt;volume&gt;138&lt;/volume&gt;&lt;number&gt;1&lt;/number&gt;&lt;edition&gt;1979/04/01&lt;/edition&gt;&lt;keywords&gt;&lt;keyword&gt;DNA Restriction Enzymes/pharmacology&lt;/keyword&gt;&lt;keyword&gt;DNA, Bacterial/*genetics/metabolism&lt;/keyword&gt;&lt;keyword&gt;*Genes&lt;/keyword&gt;&lt;keyword&gt;Mutation&lt;/keyword&gt;&lt;keyword&gt;Streptococcus pneumoniae/*genetics&lt;/keyword&gt;&lt;keyword&gt;*Transformation, Bacterial/drug effects&lt;/keyword&gt;&lt;/keywords&gt;&lt;dates&gt;&lt;year&gt;1979&lt;/year&gt;&lt;pub-dates&gt;&lt;date&gt;Apr&lt;/date&gt;&lt;/pub-dates&gt;&lt;/dates&gt;&lt;isbn&gt;0021-9193 (Print)&amp;#xD;0021-9193 (Linking)&lt;/isbn&gt;&lt;accession-num&gt;35523&lt;/accession-num&gt;&lt;urls&gt;&lt;related-urls&gt;&lt;url&gt;http://www.ncbi.nlm.nih.gov/pubmed/35523&lt;/url&gt;&lt;/related-urls&gt;&lt;/urls&gt;&lt;custom2&gt;218240&lt;/custom2&gt;&lt;language&gt;eng&lt;/language&gt;&lt;/record&gt;&lt;/Cite&gt;&lt;/EndNote&gt;</w:instrText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" w:hAnsi="Times"/>
                <w:noProof/>
                <w:sz w:val="16"/>
                <w:szCs w:val="16"/>
                <w:lang w:val="en-US"/>
              </w:rPr>
              <w:t>[</w:t>
            </w:r>
            <w:hyperlink w:anchor="_ENREF_1" w:tooltip="Lefevre, 1979 #173" w:history="1">
              <w:r>
                <w:rPr>
                  <w:rFonts w:ascii="Times" w:hAnsi="Times"/>
                  <w:noProof/>
                  <w:sz w:val="16"/>
                  <w:szCs w:val="16"/>
                  <w:lang w:val="en-US"/>
                </w:rPr>
                <w:t>1</w:t>
              </w:r>
            </w:hyperlink>
            <w:r>
              <w:rPr>
                <w:rFonts w:ascii="Times" w:hAnsi="Times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</w:tr>
      <w:tr w:rsidR="00903E7A" w:rsidRPr="00A6699D" w14:paraId="0A66C2F5" w14:textId="77777777" w:rsidTr="00333917">
        <w:trPr>
          <w:trHeight w:val="255"/>
        </w:trPr>
        <w:tc>
          <w:tcPr>
            <w:tcW w:w="2440" w:type="dxa"/>
            <w:vAlign w:val="center"/>
          </w:tcPr>
          <w:p w14:paraId="7BD17952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>
              <w:rPr>
                <w:rFonts w:ascii="Times" w:hAnsi="Times"/>
                <w:sz w:val="16"/>
                <w:lang w:val="en-US"/>
              </w:rPr>
              <w:t>G54</w:t>
            </w:r>
          </w:p>
        </w:tc>
        <w:tc>
          <w:tcPr>
            <w:tcW w:w="4608" w:type="dxa"/>
            <w:vAlign w:val="center"/>
          </w:tcPr>
          <w:p w14:paraId="2E283A59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>
              <w:rPr>
                <w:rFonts w:ascii="Times" w:hAnsi="Times"/>
                <w:sz w:val="16"/>
                <w:lang w:val="en-US"/>
              </w:rPr>
              <w:t>Clinical isolate of serotype 19F</w:t>
            </w:r>
          </w:p>
        </w:tc>
        <w:tc>
          <w:tcPr>
            <w:tcW w:w="2008" w:type="dxa"/>
            <w:vAlign w:val="center"/>
          </w:tcPr>
          <w:p w14:paraId="5853300A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&lt;EndNote&gt;&lt;Cite&gt;&lt;Author&gt;Dopazo&lt;/Author&gt;&lt;Year&gt;2001&lt;/Year&gt;&lt;RecNum&gt;352&lt;/RecNum&gt;&lt;DisplayText&gt;[2]&lt;/DisplayText&gt;&lt;record&gt;&lt;rec-number&gt;352&lt;/rec-number&gt;&lt;foreign-keys&gt;&lt;key app="EN" db-id="sp9t9f5dbewwtse0aafxwt2k29ft000ffwx0"&gt;352&lt;/key&gt;&lt;/foreign-keys&gt;&lt;ref-type name="Journal Article"&gt;17&lt;/ref-type&gt;&lt;contributors&gt;&lt;authors&gt;&lt;author&gt;Dopazo, J.&lt;/author&gt;&lt;author&gt;Mendoza, A.&lt;/author&gt;&lt;author&gt;Herrero, J.&lt;/author&gt;&lt;author&gt;Caldara, F.&lt;/author&gt;&lt;author&gt;Humbert, Y.&lt;/author&gt;&lt;author&gt;Friedli, L.&lt;/author&gt;&lt;author&gt;Guerrier, M.&lt;/author&gt;&lt;author&gt;Grand-Schenk, E.&lt;/author&gt;&lt;author&gt;Gandin, C.&lt;/author&gt;&lt;author&gt;de Francesco, M.&lt;/author&gt;&lt;author&gt;Polissi, A.&lt;/author&gt;&lt;author&gt;Buell, G.&lt;/author&gt;&lt;author&gt;Feger, G.&lt;/author&gt;&lt;author&gt;Garcia, E.&lt;/author&gt;&lt;author&gt;Peitsch, M.&lt;/author&gt;&lt;author&gt;Garcia-Bustos, J. F.&lt;/author&gt;&lt;/authors&gt;&lt;/contributors&gt;&lt;auth-address&gt;Research Department, GlaxoSmithKline S.A., Tres Cantos, Spain.&lt;/auth-address&gt;&lt;titles&gt;&lt;title&gt;Annotated draft genomic sequence from a Streptococcus pneumoniae type 19F clinical isolate&lt;/title&gt;&lt;secondary-title&gt;Microbial drug resistance&lt;/secondary-title&gt;&lt;alt-title&gt;Microb Drug Resist&lt;/alt-title&gt;&lt;/titles&gt;&lt;pages&gt;99-125&lt;/pages&gt;&lt;volume&gt;7&lt;/volume&gt;&lt;number&gt;2&lt;/number&gt;&lt;edition&gt;2001/07/10&lt;/edition&gt;&lt;keywords&gt;&lt;keyword&gt;DNA, Bacterial/chemistry/genetics&lt;/keyword&gt;&lt;keyword&gt;Genes, Bacterial/genetics&lt;/keyword&gt;&lt;keyword&gt;*Genome, Bacterial&lt;/keyword&gt;&lt;keyword&gt;Molecular Sequence Data&lt;/keyword&gt;&lt;keyword&gt;Pneumococcal Infections/*microbiology&lt;/keyword&gt;&lt;keyword&gt;Prokaryotic Cells&lt;/keyword&gt;&lt;keyword&gt;RNA, Transfer/metabolism&lt;/keyword&gt;&lt;keyword&gt;Streptococcus pneumoniae/*genetics&lt;/keyword&gt;&lt;/keywords&gt;&lt;dates&gt;&lt;year&gt;2001&lt;/year&gt;&lt;pub-dates&gt;&lt;date&gt;Summer&lt;/date&gt;&lt;/pub-dates&gt;&lt;/dates&gt;&lt;isbn&gt;1076-6294 (Print)&amp;#xD;1076-6294 (Linking)&lt;/isbn&gt;&lt;accession-num&gt;11442348&lt;/accession-num&gt;&lt;urls&gt;&lt;related-urls&gt;&lt;url&gt;http://www.ncbi.nlm.nih.gov/pubmed/11442348&lt;/url&gt;&lt;/related-urls&gt;&lt;/urls&gt;&lt;electronic-resource-num&gt;10.1089/10766290152044995&lt;/electronic-resource-num&gt;&lt;language&gt;eng&lt;/languag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</w:t>
            </w:r>
            <w:hyperlink w:anchor="_ENREF_2" w:tooltip="Dopazo, 2001 #352" w:history="1">
              <w:r>
                <w:rPr>
                  <w:noProof/>
                  <w:sz w:val="16"/>
                  <w:szCs w:val="16"/>
                </w:rPr>
                <w:t>2</w:t>
              </w:r>
            </w:hyperlink>
            <w:r>
              <w:rPr>
                <w:noProof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03E7A" w:rsidRPr="00A6699D" w14:paraId="7C454861" w14:textId="77777777" w:rsidTr="00333917">
        <w:trPr>
          <w:trHeight w:val="255"/>
        </w:trPr>
        <w:tc>
          <w:tcPr>
            <w:tcW w:w="2440" w:type="dxa"/>
            <w:vAlign w:val="center"/>
          </w:tcPr>
          <w:p w14:paraId="2351E3E2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>
              <w:rPr>
                <w:rFonts w:ascii="Times" w:hAnsi="Times"/>
                <w:sz w:val="16"/>
                <w:lang w:val="en-US"/>
              </w:rPr>
              <w:t>TCP1251</w:t>
            </w:r>
          </w:p>
        </w:tc>
        <w:tc>
          <w:tcPr>
            <w:tcW w:w="4608" w:type="dxa"/>
            <w:vAlign w:val="center"/>
          </w:tcPr>
          <w:p w14:paraId="17A01565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>
              <w:rPr>
                <w:rFonts w:ascii="Times" w:hAnsi="Times"/>
                <w:sz w:val="16"/>
                <w:lang w:val="en-US"/>
              </w:rPr>
              <w:t xml:space="preserve">Rx derivative but </w:t>
            </w:r>
            <w:r w:rsidRPr="008046B7">
              <w:rPr>
                <w:rFonts w:ascii="Times" w:hAnsi="Times"/>
                <w:i/>
                <w:sz w:val="16"/>
                <w:lang w:val="en-US"/>
              </w:rPr>
              <w:t>malM511,</w:t>
            </w:r>
            <w:r>
              <w:rPr>
                <w:rFonts w:ascii="Times" w:hAnsi="Times"/>
                <w:i/>
                <w:sz w:val="16"/>
                <w:lang w:val="en-US"/>
              </w:rPr>
              <w:t xml:space="preserve"> </w:t>
            </w:r>
            <w:r w:rsidRPr="008046B7">
              <w:rPr>
                <w:rFonts w:ascii="Times" w:hAnsi="Times"/>
                <w:i/>
                <w:sz w:val="16"/>
                <w:lang w:val="en-US"/>
              </w:rPr>
              <w:t>rpsL1,</w:t>
            </w:r>
            <w:r>
              <w:rPr>
                <w:rFonts w:ascii="Times" w:hAnsi="Times"/>
                <w:i/>
                <w:sz w:val="16"/>
                <w:lang w:val="en-US"/>
              </w:rPr>
              <w:t xml:space="preserve"> </w:t>
            </w:r>
            <w:r w:rsidRPr="008046B7">
              <w:rPr>
                <w:rFonts w:ascii="Times" w:hAnsi="Times"/>
                <w:i/>
                <w:sz w:val="16"/>
                <w:lang w:val="en-US"/>
              </w:rPr>
              <w:t>bgl1;</w:t>
            </w:r>
            <w:r>
              <w:rPr>
                <w:rFonts w:ascii="Times" w:hAnsi="Times"/>
                <w:i/>
                <w:sz w:val="16"/>
                <w:lang w:val="en-US"/>
              </w:rPr>
              <w:t xml:space="preserve"> </w:t>
            </w:r>
            <w:proofErr w:type="spellStart"/>
            <w:r w:rsidRPr="008046B7">
              <w:rPr>
                <w:rFonts w:ascii="Times" w:hAnsi="Times"/>
                <w:i/>
                <w:sz w:val="16"/>
                <w:lang w:val="en-US"/>
              </w:rPr>
              <w:t>Sm</w:t>
            </w:r>
            <w:r w:rsidRPr="008046B7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73617152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&lt;EndNote&gt;&lt;Cite&gt;&lt;Author&gt;Pestova&lt;/Author&gt;&lt;Year&gt;1996&lt;/Year&gt;&lt;RecNum&gt;359&lt;/RecNum&gt;&lt;DisplayText&gt;[3]&lt;/DisplayText&gt;&lt;record&gt;&lt;rec-number&gt;359&lt;/rec-number&gt;&lt;foreign-keys&gt;&lt;key app="EN" db-id="sp9t9f5dbewwtse0aafxwt2k29ft000ffwx0"&gt;359&lt;/key&gt;&lt;/foreign-keys&gt;&lt;ref-type name="Journal Article"&gt;17&lt;/ref-type&gt;&lt;contributors&gt;&lt;authors&gt;&lt;author&gt;Pestova, E. V.&lt;/author&gt;&lt;author&gt;Havarstein, L. S.&lt;/author&gt;&lt;author&gt;Morrison, D. A.&lt;/author&gt;&lt;/authors&gt;&lt;/contributors&gt;&lt;auth-address&gt;Department of Biological Sciences, University of Illinois at Chicago 60607, USA.&lt;/auth-address&gt;&lt;titles&gt;&lt;title&gt;Regulation of competence for genetic transformation in Streptococcus pneumoniae by an auto-induced peptide pheromone and a two-component regulatory system&lt;/title&gt;&lt;secondary-title&gt;Molecular microbiology&lt;/secondary-title&gt;&lt;alt-title&gt;Mol Microbiol&lt;/alt-title&gt;&lt;/titles&gt;&lt;pages&gt;853-62&lt;/pages&gt;&lt;volume&gt;21&lt;/volume&gt;&lt;number&gt;4&lt;/number&gt;&lt;edition&gt;1996/08/01&lt;/edition&gt;&lt;keywords&gt;&lt;keyword&gt;Amino Acid Sequence&lt;/keyword&gt;&lt;keyword&gt;Bacterial Proteins/*genetics&lt;/keyword&gt;&lt;keyword&gt;DNA-Binding Proteins/*genetics&lt;/keyword&gt;&lt;keyword&gt;Gene Expression Regulation, Bacterial/*physiology&lt;/keyword&gt;&lt;keyword&gt;Genes, Bacterial/genetics&lt;/keyword&gt;&lt;keyword&gt;Molecular Sequence Data&lt;/keyword&gt;&lt;keyword&gt;*Multienzyme Complexes&lt;/keyword&gt;&lt;keyword&gt;Multigene Family/genetics&lt;/keyword&gt;&lt;keyword&gt;Open Reading Frames/genetics&lt;/keyword&gt;&lt;keyword&gt;Protein Kinases/genetics&lt;/keyword&gt;&lt;keyword&gt;Recombinant Fusion Proteins&lt;/keyword&gt;&lt;keyword&gt;Restriction Mapping&lt;/keyword&gt;&lt;keyword&gt;Sequence Analysis, DNA&lt;/keyword&gt;&lt;keyword&gt;Sequence Homology, Amino Acid&lt;/keyword&gt;&lt;keyword&gt;Streptococcus pneumoniae/*genetics&lt;/keyword&gt;&lt;keyword&gt;Transformation, Bacterial/*genetics&lt;/keyword&gt;&lt;/keywords&gt;&lt;dates&gt;&lt;year&gt;1996&lt;/year&gt;&lt;pub-dates&gt;&lt;date&gt;Aug&lt;/date&gt;&lt;/pub-dates&gt;&lt;/dates&gt;&lt;isbn&gt;0950-382X (Print)&amp;#xD;0950-382X (Linking)&lt;/isbn&gt;&lt;accession-num&gt;8878046&lt;/accession-num&gt;&lt;work-type&gt;Research Support, U.S. Gov&amp;apos;t, Non-P.H.S.&lt;/work-type&gt;&lt;urls&gt;&lt;related-urls&gt;&lt;url&gt;http://www.ncbi.nlm.nih.gov/pubmed/8878046&lt;/url&gt;&lt;/related-urls&gt;&lt;/urls&gt;&lt;language&gt;eng&lt;/language&gt;&lt;/record&gt;&lt;/Cite&gt;&lt;/EndNote&gt;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</w:t>
            </w:r>
            <w:hyperlink w:anchor="_ENREF_3" w:tooltip="Pestova, 1996 #359" w:history="1">
              <w:r>
                <w:rPr>
                  <w:noProof/>
                  <w:sz w:val="16"/>
                  <w:szCs w:val="16"/>
                </w:rPr>
                <w:t>3</w:t>
              </w:r>
            </w:hyperlink>
            <w:r>
              <w:rPr>
                <w:noProof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03E7A" w:rsidRPr="00A6699D" w14:paraId="0B72E328" w14:textId="77777777" w:rsidTr="00333917">
        <w:trPr>
          <w:trHeight w:val="540"/>
        </w:trPr>
        <w:tc>
          <w:tcPr>
            <w:tcW w:w="2440" w:type="dxa"/>
            <w:vAlign w:val="center"/>
          </w:tcPr>
          <w:p w14:paraId="08F6992B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R1501</w:t>
            </w:r>
          </w:p>
        </w:tc>
        <w:tc>
          <w:tcPr>
            <w:tcW w:w="4608" w:type="dxa"/>
            <w:vAlign w:val="center"/>
          </w:tcPr>
          <w:p w14:paraId="775EB7B2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R800 but ∆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comC</w:t>
            </w:r>
            <w:proofErr w:type="spellEnd"/>
          </w:p>
        </w:tc>
        <w:tc>
          <w:tcPr>
            <w:tcW w:w="2008" w:type="dxa"/>
            <w:vAlign w:val="center"/>
          </w:tcPr>
          <w:p w14:paraId="07BA26E5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ldData xml:space="preserve">PEVuZE5vdGU+PENpdGU+PEF1dGhvcj5EYWdrZXNzYW1hbnNrYWlhPC9BdXRob3I+PFllYXI+MjAw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=
</w:fldData>
              </w:fldChar>
            </w:r>
            <w:r>
              <w:rPr>
                <w:rFonts w:ascii="Times" w:hAnsi="Times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ldData xml:space="preserve">PEVuZE5vdGU+PENpdGU+PEF1dGhvcj5EYWdrZXNzYW1hbnNrYWlhPC9BdXRob3I+PFllYXI+MjAw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=
</w:fldData>
              </w:fldChar>
            </w:r>
            <w:r>
              <w:rPr>
                <w:rFonts w:ascii="Times" w:hAnsi="Times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" w:hAnsi="Times"/>
                <w:sz w:val="16"/>
                <w:szCs w:val="16"/>
                <w:lang w:val="en-US"/>
              </w:rPr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" w:hAnsi="Times"/>
                <w:sz w:val="16"/>
                <w:szCs w:val="16"/>
                <w:lang w:val="en-US"/>
              </w:rPr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" w:hAnsi="Times"/>
                <w:noProof/>
                <w:sz w:val="16"/>
                <w:szCs w:val="16"/>
                <w:lang w:val="en-US"/>
              </w:rPr>
              <w:t>[</w:t>
            </w:r>
            <w:hyperlink w:anchor="_ENREF_4" w:tooltip="Dagkessamanskaia, 2004 #117" w:history="1">
              <w:r>
                <w:rPr>
                  <w:rFonts w:ascii="Times" w:hAnsi="Times"/>
                  <w:noProof/>
                  <w:sz w:val="16"/>
                  <w:szCs w:val="16"/>
                  <w:lang w:val="en-US"/>
                </w:rPr>
                <w:t>4</w:t>
              </w:r>
            </w:hyperlink>
            <w:r>
              <w:rPr>
                <w:rFonts w:ascii="Times" w:hAnsi="Times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</w:tr>
      <w:tr w:rsidR="00903E7A" w:rsidRPr="00A6699D" w14:paraId="10EE2E7C" w14:textId="77777777" w:rsidTr="00333917">
        <w:trPr>
          <w:trHeight w:val="255"/>
        </w:trPr>
        <w:tc>
          <w:tcPr>
            <w:tcW w:w="2440" w:type="dxa"/>
            <w:vAlign w:val="center"/>
          </w:tcPr>
          <w:p w14:paraId="51811F57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>
              <w:rPr>
                <w:rFonts w:ascii="Times" w:hAnsi="Times"/>
                <w:sz w:val="16"/>
                <w:lang w:val="en-US"/>
              </w:rPr>
              <w:t>R304</w:t>
            </w:r>
          </w:p>
        </w:tc>
        <w:tc>
          <w:tcPr>
            <w:tcW w:w="4608" w:type="dxa"/>
            <w:vAlign w:val="center"/>
          </w:tcPr>
          <w:p w14:paraId="619C3414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CF5EB3">
              <w:rPr>
                <w:rFonts w:ascii="Times" w:hAnsi="Times"/>
                <w:sz w:val="16"/>
                <w:lang w:val="en-US"/>
              </w:rPr>
              <w:t xml:space="preserve">R800 derivative, </w:t>
            </w:r>
            <w:r w:rsidRPr="00CF5EB3">
              <w:rPr>
                <w:rFonts w:ascii="Times" w:hAnsi="Times"/>
                <w:i/>
                <w:sz w:val="16"/>
                <w:lang w:val="en-US"/>
              </w:rPr>
              <w:t xml:space="preserve">nov1, rif23, str41; </w:t>
            </w:r>
            <w:proofErr w:type="spellStart"/>
            <w:r w:rsidRPr="00CF5EB3">
              <w:rPr>
                <w:rFonts w:ascii="Times" w:hAnsi="Times"/>
                <w:i/>
                <w:sz w:val="16"/>
                <w:lang w:val="en-US"/>
              </w:rPr>
              <w:t>Nov</w:t>
            </w:r>
            <w:r w:rsidRPr="00CF5EB3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  <w:r w:rsidRPr="00CF5EB3">
              <w:rPr>
                <w:rFonts w:ascii="Times" w:hAnsi="Times"/>
                <w:i/>
                <w:sz w:val="16"/>
                <w:lang w:val="en-US"/>
              </w:rPr>
              <w:t xml:space="preserve">, </w:t>
            </w:r>
            <w:proofErr w:type="spellStart"/>
            <w:r w:rsidRPr="00CF5EB3">
              <w:rPr>
                <w:rFonts w:ascii="Times" w:hAnsi="Times"/>
                <w:i/>
                <w:sz w:val="16"/>
                <w:lang w:val="en-US"/>
              </w:rPr>
              <w:t>Rif</w:t>
            </w:r>
            <w:r w:rsidRPr="00CF5EB3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  <w:r w:rsidRPr="00CF5EB3">
              <w:rPr>
                <w:rFonts w:ascii="Times" w:hAnsi="Times"/>
                <w:i/>
                <w:sz w:val="16"/>
                <w:lang w:val="en-US"/>
              </w:rPr>
              <w:t xml:space="preserve">, </w:t>
            </w:r>
            <w:proofErr w:type="spellStart"/>
            <w:r w:rsidRPr="00CF5EB3">
              <w:rPr>
                <w:rFonts w:ascii="Times" w:hAnsi="Times"/>
                <w:i/>
                <w:sz w:val="16"/>
                <w:lang w:val="en-US"/>
              </w:rPr>
              <w:t>Sm</w:t>
            </w:r>
            <w:r w:rsidRPr="00CF5EB3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4086DD8D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</w:rPr>
              <w:fldChar w:fldCharType="begin"/>
            </w:r>
            <w:r>
              <w:rPr>
                <w:rFonts w:ascii="Times" w:hAnsi="Times"/>
                <w:sz w:val="16"/>
                <w:szCs w:val="16"/>
              </w:rPr>
              <w:instrText xml:space="preserve"> ADDIN EN.CITE &lt;EndNote&gt;&lt;Cite&gt;&lt;Author&gt;Mortier-Barriere&lt;/Author&gt;&lt;Year&gt;1998&lt;/Year&gt;&lt;RecNum&gt;362&lt;/RecNum&gt;&lt;DisplayText&gt;[5]&lt;/DisplayText&gt;&lt;record&gt;&lt;rec-number&gt;362&lt;/rec-number&gt;&lt;foreign-keys&gt;&lt;key app="EN" db-id="sp9t9f5dbewwtse0aafxwt2k29ft000ffwx0"&gt;362&lt;/key&gt;&lt;/foreign-keys&gt;&lt;ref-type name="Journal Article"&gt;17&lt;/ref-type&gt;&lt;contributors&gt;&lt;authors&gt;&lt;author&gt;Mortier-Barriere, I.&lt;/author&gt;&lt;author&gt;de Saizieu, A.&lt;/author&gt;&lt;author&gt;Claverys, J. P.&lt;/author&gt;&lt;author&gt;Martin, B.&lt;/author&gt;&lt;/authors&gt;&lt;/contributors&gt;&lt;auth-address&gt;Microbiologie et Genetique Moleculaire CNRS-UPR 9007, Universite Paul Sabatier, Toulouse, France.&lt;/auth-address&gt;&lt;titles&gt;&lt;title&gt;Competence-specific induction of recA is required for full recombination proficiency during transformation in Streptococcus pneumoniae&lt;/title&gt;&lt;secondary-title&gt;Molecular microbiology&lt;/secondary-title&gt;&lt;alt-title&gt;Mol Microbiol&lt;/alt-title&gt;&lt;/titles&gt;&lt;pages&gt;159-70&lt;/pages&gt;&lt;volume&gt;27&lt;/volume&gt;&lt;number&gt;1&lt;/number&gt;&lt;edition&gt;1998/02/18&lt;/edition&gt;&lt;keywords&gt;&lt;keyword&gt;Amidohydrolases/genetics&lt;/keyword&gt;&lt;keyword&gt;Blotting, Northern&lt;/keyword&gt;&lt;keyword&gt;Blotting, Southern&lt;/keyword&gt;&lt;keyword&gt;Blotting, Western&lt;/keyword&gt;&lt;keyword&gt;DNA, Bacterial/genetics&lt;/keyword&gt;&lt;keyword&gt;Enzymes/genetics&lt;/keyword&gt;&lt;keyword&gt;*N-Acetylmuramoyl-L-alanine Amidase&lt;/keyword&gt;&lt;keyword&gt;Operon/physiology&lt;/keyword&gt;&lt;keyword&gt;Polymerase Chain Reaction&lt;/keyword&gt;&lt;keyword&gt;Rec A Recombinases/biosynthesis/*chemistry/genetics&lt;/keyword&gt;&lt;keyword&gt;Recombination, Genetic/*physiology&lt;/keyword&gt;&lt;keyword&gt;SOS Response (Genetics)/physiology&lt;/keyword&gt;&lt;keyword&gt;Streptococcus pneumoniae/enzymology/genetics/*physiology&lt;/keyword&gt;&lt;keyword&gt;Transcription, Genetic/physiology&lt;/keyword&gt;&lt;keyword&gt;Transformation, Genetic/*physiology&lt;/keyword&gt;&lt;/keywords&gt;&lt;dates&gt;&lt;year&gt;1998&lt;/year&gt;&lt;pub-dates&gt;&lt;date&gt;Jan&lt;/date&gt;&lt;/pub-dates&gt;&lt;/dates&gt;&lt;isbn&gt;0950-382X (Print)&amp;#xD;0950-382X (Linking)&lt;/isbn&gt;&lt;accession-num&gt;9466264&lt;/accession-num&gt;&lt;urls&gt;&lt;related-urls&gt;&lt;url&gt;http://www.ncbi.nlm.nih.gov/pubmed/9466264&lt;/url&gt;&lt;/related-urls&gt;&lt;/urls&gt;&lt;language&gt;eng&lt;/language&gt;&lt;/record&gt;&lt;/Cite&gt;&lt;/EndNote&gt;</w:instrText>
            </w:r>
            <w:r>
              <w:rPr>
                <w:rFonts w:ascii="Times" w:hAnsi="Times"/>
                <w:sz w:val="16"/>
                <w:szCs w:val="16"/>
              </w:rPr>
              <w:fldChar w:fldCharType="separate"/>
            </w:r>
            <w:r>
              <w:rPr>
                <w:rFonts w:ascii="Times" w:hAnsi="Times"/>
                <w:noProof/>
                <w:sz w:val="16"/>
                <w:szCs w:val="16"/>
              </w:rPr>
              <w:t>[</w:t>
            </w:r>
            <w:hyperlink w:anchor="_ENREF_5" w:tooltip="Mortier-Barriere, 1998 #362" w:history="1">
              <w:r>
                <w:rPr>
                  <w:rFonts w:ascii="Times" w:hAnsi="Times"/>
                  <w:noProof/>
                  <w:sz w:val="16"/>
                  <w:szCs w:val="16"/>
                </w:rPr>
                <w:t>5</w:t>
              </w:r>
            </w:hyperlink>
            <w:r>
              <w:rPr>
                <w:rFonts w:ascii="Times" w:hAnsi="Times"/>
                <w:noProof/>
                <w:sz w:val="16"/>
                <w:szCs w:val="16"/>
              </w:rPr>
              <w:t>]</w:t>
            </w:r>
            <w:r>
              <w:rPr>
                <w:rFonts w:ascii="Times" w:hAnsi="Times"/>
                <w:sz w:val="16"/>
                <w:szCs w:val="16"/>
              </w:rPr>
              <w:fldChar w:fldCharType="end"/>
            </w:r>
          </w:p>
        </w:tc>
      </w:tr>
      <w:tr w:rsidR="00903E7A" w:rsidRPr="00A6699D" w14:paraId="654A057D" w14:textId="77777777" w:rsidTr="00333917">
        <w:trPr>
          <w:trHeight w:val="255"/>
        </w:trPr>
        <w:tc>
          <w:tcPr>
            <w:tcW w:w="2440" w:type="dxa"/>
            <w:vAlign w:val="center"/>
          </w:tcPr>
          <w:p w14:paraId="1C7A10BC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R1916</w:t>
            </w:r>
          </w:p>
        </w:tc>
        <w:tc>
          <w:tcPr>
            <w:tcW w:w="4608" w:type="dxa"/>
            <w:vAlign w:val="center"/>
          </w:tcPr>
          <w:p w14:paraId="11E0ACEE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vertAlign w:val="superscript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R1501 but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ssbB</w:t>
            </w:r>
            <w:proofErr w:type="spellEnd"/>
            <w:proofErr w:type="gramStart"/>
            <w:r w:rsidRPr="00A6699D">
              <w:rPr>
                <w:rFonts w:ascii="Times" w:hAnsi="Times"/>
                <w:i/>
                <w:sz w:val="16"/>
                <w:lang w:val="en-US"/>
              </w:rPr>
              <w:t>::</w:t>
            </w:r>
            <w:proofErr w:type="spellStart"/>
            <w:proofErr w:type="gramEnd"/>
            <w:r w:rsidRPr="00A6699D">
              <w:rPr>
                <w:rFonts w:ascii="Times" w:hAnsi="Times"/>
                <w:i/>
                <w:sz w:val="16"/>
                <w:lang w:val="en-US"/>
              </w:rPr>
              <w:t>luc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 (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ssbB</w:t>
            </w:r>
            <w:proofErr w:type="spellEnd"/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+</w:t>
            </w:r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),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comGA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>::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kan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;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Cm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,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Kan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7356D583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C2725B">
              <w:rPr>
                <w:rFonts w:ascii="Times" w:hAnsi="Times"/>
                <w:sz w:val="16"/>
                <w:szCs w:val="16"/>
                <w:lang w:val="en-US"/>
              </w:rPr>
              <w:t>Claverys</w:t>
            </w:r>
            <w:proofErr w:type="spellEnd"/>
            <w:r w:rsidRPr="00C2725B">
              <w:rPr>
                <w:rFonts w:ascii="Times" w:hAnsi="Times"/>
                <w:sz w:val="16"/>
                <w:szCs w:val="16"/>
                <w:lang w:val="en-US"/>
              </w:rPr>
              <w:t>’ strain collection</w:t>
            </w:r>
          </w:p>
        </w:tc>
      </w:tr>
      <w:tr w:rsidR="00903E7A" w:rsidRPr="00A6699D" w14:paraId="51AADCEA" w14:textId="77777777" w:rsidTr="00333917">
        <w:trPr>
          <w:trHeight w:val="393"/>
        </w:trPr>
        <w:tc>
          <w:tcPr>
            <w:tcW w:w="2440" w:type="dxa"/>
            <w:vAlign w:val="center"/>
          </w:tcPr>
          <w:p w14:paraId="63C172D6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R998</w:t>
            </w:r>
          </w:p>
        </w:tc>
        <w:tc>
          <w:tcPr>
            <w:tcW w:w="4608" w:type="dxa"/>
            <w:vAlign w:val="center"/>
          </w:tcPr>
          <w:p w14:paraId="0F5F6133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R1501 but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comEC</w:t>
            </w:r>
            <w:proofErr w:type="spellEnd"/>
            <w:proofErr w:type="gramStart"/>
            <w:r w:rsidRPr="00A6699D">
              <w:rPr>
                <w:rFonts w:ascii="Times" w:hAnsi="Times"/>
                <w:i/>
                <w:sz w:val="16"/>
                <w:lang w:val="en-US"/>
              </w:rPr>
              <w:t>::</w:t>
            </w:r>
            <w:proofErr w:type="spellStart"/>
            <w:proofErr w:type="gramEnd"/>
            <w:r w:rsidRPr="00A6699D">
              <w:rPr>
                <w:rFonts w:ascii="Times" w:hAnsi="Times"/>
                <w:i/>
                <w:sz w:val="16"/>
                <w:lang w:val="en-US"/>
              </w:rPr>
              <w:t>spc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;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Cm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,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Spc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592092C1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C2725B">
              <w:rPr>
                <w:rFonts w:ascii="Times" w:hAnsi="Times"/>
                <w:sz w:val="16"/>
                <w:szCs w:val="16"/>
                <w:lang w:val="en-US"/>
              </w:rPr>
              <w:t>Claverys</w:t>
            </w:r>
            <w:proofErr w:type="spellEnd"/>
            <w:r w:rsidRPr="00C2725B">
              <w:rPr>
                <w:rFonts w:ascii="Times" w:hAnsi="Times"/>
                <w:sz w:val="16"/>
                <w:szCs w:val="16"/>
                <w:lang w:val="en-US"/>
              </w:rPr>
              <w:t>’ strain collection</w:t>
            </w:r>
          </w:p>
        </w:tc>
      </w:tr>
      <w:tr w:rsidR="00903E7A" w:rsidRPr="00A6699D" w14:paraId="59A4CBBD" w14:textId="77777777" w:rsidTr="00333917">
        <w:trPr>
          <w:trHeight w:val="415"/>
        </w:trPr>
        <w:tc>
          <w:tcPr>
            <w:tcW w:w="2440" w:type="dxa"/>
            <w:vAlign w:val="center"/>
          </w:tcPr>
          <w:p w14:paraId="22E9DEF1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R1063</w:t>
            </w:r>
          </w:p>
        </w:tc>
        <w:tc>
          <w:tcPr>
            <w:tcW w:w="4608" w:type="dxa"/>
            <w:vAlign w:val="center"/>
          </w:tcPr>
          <w:p w14:paraId="011A868A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R1501 but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comFA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>::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spc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;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Cm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,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Spc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71A81E71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proofErr w:type="spellStart"/>
            <w:r w:rsidRPr="00C2725B">
              <w:rPr>
                <w:rFonts w:ascii="Times" w:hAnsi="Times"/>
                <w:sz w:val="16"/>
                <w:szCs w:val="16"/>
                <w:lang w:val="en-US"/>
              </w:rPr>
              <w:t>Claverys</w:t>
            </w:r>
            <w:proofErr w:type="spellEnd"/>
            <w:r w:rsidRPr="00C2725B">
              <w:rPr>
                <w:rFonts w:ascii="Times" w:hAnsi="Times"/>
                <w:sz w:val="16"/>
                <w:szCs w:val="16"/>
                <w:lang w:val="en-US"/>
              </w:rPr>
              <w:t>’ strain collection</w:t>
            </w:r>
          </w:p>
        </w:tc>
      </w:tr>
      <w:tr w:rsidR="00903E7A" w:rsidRPr="00A6699D" w14:paraId="3470F721" w14:textId="77777777" w:rsidTr="00333917">
        <w:trPr>
          <w:trHeight w:val="600"/>
        </w:trPr>
        <w:tc>
          <w:tcPr>
            <w:tcW w:w="2440" w:type="dxa"/>
            <w:vAlign w:val="center"/>
          </w:tcPr>
          <w:p w14:paraId="2228EC40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RL001</w:t>
            </w:r>
          </w:p>
        </w:tc>
        <w:tc>
          <w:tcPr>
            <w:tcW w:w="4608" w:type="dxa"/>
            <w:vAlign w:val="center"/>
          </w:tcPr>
          <w:p w14:paraId="16FC1DE2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vertAlign w:val="superscript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R1501, but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CEPx</w:t>
            </w:r>
            <w:proofErr w:type="spellEnd"/>
            <w:r w:rsidRPr="00A6699D">
              <w:rPr>
                <w:rFonts w:ascii="Times" w:hAnsi="Times"/>
                <w:sz w:val="16"/>
                <w:lang w:val="en-US"/>
              </w:rPr>
              <w:t>-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comGC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>-FLAG</w:t>
            </w:r>
            <w:r w:rsidRPr="00A6699D">
              <w:rPr>
                <w:rFonts w:ascii="Times" w:hAnsi="Times"/>
                <w:sz w:val="16"/>
                <w:lang w:val="en-US"/>
              </w:rPr>
              <w:t xml:space="preserve"> (from plasmid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pCEPx</w:t>
            </w:r>
            <w:proofErr w:type="spellEnd"/>
            <w:r w:rsidRPr="00A6699D">
              <w:rPr>
                <w:rFonts w:ascii="Times" w:hAnsi="Times"/>
                <w:sz w:val="16"/>
                <w:lang w:val="en-US"/>
              </w:rPr>
              <w:t>-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comGC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>-FLAG</w:t>
            </w:r>
            <w:r w:rsidRPr="00A6699D">
              <w:rPr>
                <w:rFonts w:ascii="Times" w:hAnsi="Times"/>
                <w:sz w:val="16"/>
                <w:lang w:val="en-US"/>
              </w:rPr>
              <w:t xml:space="preserve">);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Kan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61131747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C2725B">
              <w:rPr>
                <w:rFonts w:ascii="Times" w:hAnsi="Times"/>
                <w:sz w:val="16"/>
                <w:szCs w:val="16"/>
                <w:lang w:val="en-US"/>
              </w:rPr>
              <w:t>This study</w:t>
            </w:r>
          </w:p>
        </w:tc>
      </w:tr>
      <w:tr w:rsidR="00903E7A" w:rsidRPr="00A6699D" w14:paraId="7694C035" w14:textId="77777777" w:rsidTr="00333917">
        <w:trPr>
          <w:trHeight w:val="335"/>
        </w:trPr>
        <w:tc>
          <w:tcPr>
            <w:tcW w:w="2440" w:type="dxa"/>
            <w:vAlign w:val="center"/>
          </w:tcPr>
          <w:p w14:paraId="6CC57BE3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RL002</w:t>
            </w:r>
          </w:p>
        </w:tc>
        <w:tc>
          <w:tcPr>
            <w:tcW w:w="4608" w:type="dxa"/>
            <w:vAlign w:val="center"/>
          </w:tcPr>
          <w:p w14:paraId="6F2E9791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vertAlign w:val="superscript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RL001 , but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comGA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>::spc3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C</w:t>
            </w:r>
            <w:r w:rsidRPr="00A6699D">
              <w:rPr>
                <w:rFonts w:ascii="Times" w:hAnsi="Times"/>
                <w:sz w:val="16"/>
                <w:lang w:val="en-US"/>
              </w:rPr>
              <w:t xml:space="preserve"> (from strain R1062);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Kan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,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Spc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6979894A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C2725B">
              <w:rPr>
                <w:rFonts w:ascii="Times" w:hAnsi="Times"/>
                <w:sz w:val="16"/>
                <w:szCs w:val="16"/>
                <w:lang w:val="en-US"/>
              </w:rPr>
              <w:t>This study</w:t>
            </w:r>
          </w:p>
        </w:tc>
      </w:tr>
      <w:tr w:rsidR="00903E7A" w:rsidRPr="00A6699D" w14:paraId="2CFCB52D" w14:textId="77777777" w:rsidTr="00333917">
        <w:trPr>
          <w:trHeight w:val="404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439EB9C6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RL003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B49B8F9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R1501 but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comGC</w:t>
            </w:r>
            <w:proofErr w:type="spellEnd"/>
            <w:r w:rsidRPr="00A6699D">
              <w:rPr>
                <w:rFonts w:ascii="Times" w:hAnsi="Times"/>
                <w:i/>
                <w:sz w:val="16"/>
                <w:lang w:val="en-US"/>
              </w:rPr>
              <w:t xml:space="preserve"> </w:t>
            </w:r>
            <w:r w:rsidRPr="00A6699D">
              <w:rPr>
                <w:rFonts w:ascii="Times" w:hAnsi="Times"/>
                <w:sz w:val="16"/>
                <w:lang w:val="en-US"/>
              </w:rPr>
              <w:t xml:space="preserve">E20A (point mutation of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ComGC</w:t>
            </w:r>
            <w:proofErr w:type="spellEnd"/>
            <w:r w:rsidRPr="00A6699D">
              <w:rPr>
                <w:rFonts w:ascii="Times" w:hAnsi="Times"/>
                <w:sz w:val="16"/>
                <w:lang w:val="en-US"/>
              </w:rPr>
              <w:t xml:space="preserve">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pilin</w:t>
            </w:r>
            <w:proofErr w:type="spellEnd"/>
            <w:r w:rsidRPr="00A6699D">
              <w:rPr>
                <w:rFonts w:ascii="Times" w:hAnsi="Times"/>
                <w:sz w:val="16"/>
                <w:lang w:val="en-US"/>
              </w:rPr>
              <w:t>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649EC58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C2725B">
              <w:rPr>
                <w:rFonts w:ascii="Times" w:hAnsi="Times"/>
                <w:sz w:val="16"/>
                <w:szCs w:val="16"/>
                <w:lang w:val="en-US"/>
              </w:rPr>
              <w:t>This study</w:t>
            </w:r>
          </w:p>
        </w:tc>
      </w:tr>
      <w:tr w:rsidR="00903E7A" w:rsidRPr="00A6699D" w14:paraId="45B6DBAD" w14:textId="77777777" w:rsidTr="00333917">
        <w:trPr>
          <w:trHeight w:val="280"/>
        </w:trPr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BF4494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903E7A" w:rsidRPr="00A6699D" w14:paraId="7113375F" w14:textId="77777777" w:rsidTr="00333917">
        <w:trPr>
          <w:trHeight w:val="280"/>
        </w:trPr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14:paraId="131643B5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>Plasmids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14:paraId="583031A5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14:paraId="4BED7E4D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903E7A" w:rsidRPr="00A6699D" w14:paraId="66CAD156" w14:textId="77777777" w:rsidTr="00333917">
        <w:trPr>
          <w:trHeight w:val="600"/>
        </w:trPr>
        <w:tc>
          <w:tcPr>
            <w:tcW w:w="2440" w:type="dxa"/>
            <w:vAlign w:val="center"/>
          </w:tcPr>
          <w:p w14:paraId="09402AD4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lang w:val="en-US"/>
              </w:rPr>
            </w:pP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pCEPx</w:t>
            </w:r>
            <w:proofErr w:type="spellEnd"/>
          </w:p>
        </w:tc>
        <w:tc>
          <w:tcPr>
            <w:tcW w:w="4608" w:type="dxa"/>
            <w:vAlign w:val="center"/>
          </w:tcPr>
          <w:p w14:paraId="7DB7CF78" w14:textId="77777777" w:rsidR="00903E7A" w:rsidRPr="00A6699D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vertAlign w:val="superscript"/>
                <w:lang w:val="en-US"/>
              </w:rPr>
            </w:pPr>
            <w:r w:rsidRPr="00A6699D">
              <w:rPr>
                <w:rFonts w:ascii="Times" w:hAnsi="Times"/>
                <w:sz w:val="16"/>
                <w:lang w:val="en-US"/>
              </w:rPr>
              <w:t xml:space="preserve">ColE1 (pBR322) derivative containing the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ComX</w:t>
            </w:r>
            <w:proofErr w:type="spellEnd"/>
            <w:r w:rsidRPr="00A6699D">
              <w:rPr>
                <w:rFonts w:ascii="Times" w:hAnsi="Times"/>
                <w:sz w:val="16"/>
                <w:lang w:val="en-US"/>
              </w:rPr>
              <w:t>-dependent promoter, P</w:t>
            </w:r>
            <w:r w:rsidRPr="00A6699D">
              <w:rPr>
                <w:rFonts w:ascii="Times" w:hAnsi="Times"/>
                <w:sz w:val="16"/>
                <w:vertAlign w:val="subscript"/>
                <w:lang w:val="en-US"/>
              </w:rPr>
              <w:t>X</w:t>
            </w:r>
            <w:r w:rsidRPr="00A6699D">
              <w:rPr>
                <w:rFonts w:ascii="Times" w:hAnsi="Times"/>
                <w:sz w:val="16"/>
                <w:lang w:val="en-US"/>
              </w:rPr>
              <w:t xml:space="preserve">, and the RBS of </w:t>
            </w:r>
            <w:proofErr w:type="spellStart"/>
            <w:r w:rsidRPr="00A6699D">
              <w:rPr>
                <w:rFonts w:ascii="Times" w:hAnsi="Times"/>
                <w:sz w:val="16"/>
                <w:lang w:val="en-US"/>
              </w:rPr>
              <w:t>ssbB</w:t>
            </w:r>
            <w:proofErr w:type="spellEnd"/>
            <w:r w:rsidRPr="00A6699D">
              <w:rPr>
                <w:rFonts w:ascii="Times" w:hAnsi="Times"/>
                <w:sz w:val="16"/>
                <w:lang w:val="en-US"/>
              </w:rPr>
              <w:t xml:space="preserve">; </w:t>
            </w:r>
            <w:proofErr w:type="spellStart"/>
            <w:r w:rsidRPr="00A6699D">
              <w:rPr>
                <w:rFonts w:ascii="Times" w:hAnsi="Times"/>
                <w:i/>
                <w:sz w:val="16"/>
                <w:lang w:val="en-US"/>
              </w:rPr>
              <w:t>Kan</w:t>
            </w:r>
            <w:r w:rsidRPr="00A6699D">
              <w:rPr>
                <w:rFonts w:ascii="Times" w:hAnsi="Times"/>
                <w:i/>
                <w:sz w:val="16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008" w:type="dxa"/>
            <w:vAlign w:val="center"/>
          </w:tcPr>
          <w:p w14:paraId="0F9F213D" w14:textId="77777777" w:rsidR="00903E7A" w:rsidRPr="00C2725B" w:rsidRDefault="00903E7A" w:rsidP="003339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480" w:lineRule="auto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>
              <w:rPr>
                <w:rFonts w:ascii="Times" w:hAnsi="Times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" w:hAnsi="Times"/>
                <w:sz w:val="16"/>
                <w:szCs w:val="16"/>
                <w:lang w:val="en-US"/>
              </w:rPr>
              <w:instrText xml:space="preserve"> ADDIN EN.CITE &lt;EndNote&gt;&lt;Cite&gt;&lt;Author&gt;Martin&lt;/Author&gt;&lt;Year&gt;2010&lt;/Year&gt;&lt;RecNum&gt;174&lt;/RecNum&gt;&lt;DisplayText&gt;[6]&lt;/DisplayText&gt;&lt;record&gt;&lt;rec-number&gt;174&lt;/rec-number&gt;&lt;foreign-keys&gt;&lt;key app="EN" db-id="sp9t9f5dbewwtse0aafxwt2k29ft000ffwx0"&gt;174&lt;/key&gt;&lt;/foreign-keys&gt;&lt;ref-type name="Journal Article"&gt;17&lt;/ref-type&gt;&lt;contributors&gt;&lt;authors&gt;&lt;author&gt;Martin, B.&lt;/author&gt;&lt;author&gt;Granadel, C.&lt;/author&gt;&lt;author&gt;Campo, N.&lt;/author&gt;&lt;author&gt;Henard, V.&lt;/author&gt;&lt;author&gt;Prudhomme, M.&lt;/author&gt;&lt;author&gt;Claverys, J. P.&lt;/author&gt;&lt;/authors&gt;&lt;/contributors&gt;&lt;auth-address&gt;Centre National de la Recherche Scientifique, LMGM-UMR5100, Toulouse, France.&lt;/auth-address&gt;&lt;titles&gt;&lt;title&gt;Expression and maintenance of ComD-ComE, the two-component signal-transduction system that controls competence of Streptococcus pneumoniae&lt;/title&gt;&lt;secondary-title&gt;Molecular microbiology&lt;/secondary-title&gt;&lt;alt-title&gt;Mol Microbiol&lt;/alt-title&gt;&lt;/titles&gt;&lt;pages&gt;1513-28&lt;/pages&gt;&lt;volume&gt;75&lt;/volume&gt;&lt;number&gt;6&lt;/number&gt;&lt;edition&gt;2010/02/26&lt;/edition&gt;&lt;keywords&gt;&lt;keyword&gt;Bacterial Proteins/*metabolism&lt;/keyword&gt;&lt;keyword&gt;DNA, Bacterial/metabolism&lt;/keyword&gt;&lt;keyword&gt;*Gene Expression Regulation, Bacterial&lt;/keyword&gt;&lt;keyword&gt;Gene Order&lt;/keyword&gt;&lt;keyword&gt;Genes, Bacterial&lt;/keyword&gt;&lt;keyword&gt;Operon&lt;/keyword&gt;&lt;keyword&gt;Promoter Regions, Genetic&lt;/keyword&gt;&lt;keyword&gt;Protein Kinases/*metabolism&lt;/keyword&gt;&lt;keyword&gt;*Signal Transduction&lt;/keyword&gt;&lt;keyword&gt;Streptococcus pneumoniae/genetics/*physiology&lt;/keyword&gt;&lt;keyword&gt;Transcription, Genetic&lt;/keyword&gt;&lt;keyword&gt;Transformation, Bacterial&lt;/keyword&gt;&lt;/keywords&gt;&lt;dates&gt;&lt;year&gt;2010&lt;/year&gt;&lt;pub-dates&gt;&lt;date&gt;Mar&lt;/date&gt;&lt;/pub-dates&gt;&lt;/dates&gt;&lt;isbn&gt;1365-2958 (Electronic)&amp;#xD;0950-382X (Linking)&lt;/isbn&gt;&lt;accession-num&gt;20180906&lt;/accession-num&gt;&lt;work-type&gt;Research Support, Non-U.S. Gov&amp;apos;t&lt;/work-type&gt;&lt;urls&gt;&lt;related-urls&gt;&lt;url&gt;http://www.ncbi.nlm.nih.gov/pubmed/20180906&lt;/url&gt;&lt;/related-urls&gt;&lt;/urls&gt;&lt;electronic-resource-num&gt;10.1111/j.1365-2958.2010.07071.x&lt;/electronic-resource-num&gt;&lt;language&gt;eng&lt;/language&gt;&lt;/record&gt;&lt;/Cite&gt;&lt;/EndNote&gt;</w:instrText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" w:hAnsi="Times"/>
                <w:noProof/>
                <w:sz w:val="16"/>
                <w:szCs w:val="16"/>
                <w:lang w:val="en-US"/>
              </w:rPr>
              <w:t>[</w:t>
            </w:r>
            <w:hyperlink w:anchor="_ENREF_6" w:tooltip="Martin, 2010 #174" w:history="1">
              <w:r>
                <w:rPr>
                  <w:rFonts w:ascii="Times" w:hAnsi="Times"/>
                  <w:noProof/>
                  <w:sz w:val="16"/>
                  <w:szCs w:val="16"/>
                  <w:lang w:val="en-US"/>
                </w:rPr>
                <w:t>6</w:t>
              </w:r>
            </w:hyperlink>
            <w:r>
              <w:rPr>
                <w:rFonts w:ascii="Times" w:hAnsi="Times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DCDC895" w14:textId="77777777" w:rsidR="00903E7A" w:rsidRPr="00A6699D" w:rsidRDefault="00903E7A" w:rsidP="00903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480" w:lineRule="auto"/>
        <w:rPr>
          <w:rFonts w:ascii="Times" w:hAnsi="Times"/>
          <w:lang w:val="en-US"/>
        </w:rPr>
      </w:pPr>
      <w:r w:rsidRPr="00A6699D">
        <w:rPr>
          <w:rFonts w:ascii="Times" w:hAnsi="Times"/>
          <w:sz w:val="16"/>
          <w:vertAlign w:val="superscript"/>
          <w:lang w:val="en-US"/>
        </w:rPr>
        <w:t>R</w:t>
      </w:r>
      <w:r w:rsidRPr="00A6699D">
        <w:rPr>
          <w:rFonts w:ascii="Times" w:hAnsi="Times"/>
          <w:sz w:val="16"/>
          <w:lang w:val="en-US"/>
        </w:rPr>
        <w:t>, resistance.</w:t>
      </w:r>
    </w:p>
    <w:p w14:paraId="2A94A4AB" w14:textId="77777777" w:rsidR="00AD25C9" w:rsidRPr="00EC7D3A" w:rsidRDefault="00AD25C9" w:rsidP="00AD2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480" w:lineRule="auto"/>
        <w:jc w:val="both"/>
        <w:rPr>
          <w:rFonts w:ascii="Times" w:eastAsia="Times New Roman" w:hAnsi="Times"/>
          <w:color w:val="auto"/>
          <w:sz w:val="20"/>
          <w:lang w:val="en-US" w:eastAsia="fr-FR" w:bidi="x-none"/>
        </w:rPr>
      </w:pPr>
    </w:p>
    <w:p w14:paraId="237DF1DD" w14:textId="77777777" w:rsidR="00AD25C9" w:rsidRPr="00EC7D3A" w:rsidRDefault="00AD25C9" w:rsidP="00AD25C9">
      <w:pPr>
        <w:ind w:left="720" w:hanging="720"/>
        <w:jc w:val="both"/>
        <w:rPr>
          <w:rFonts w:eastAsia="Times New Roman"/>
          <w:noProof/>
          <w:color w:val="auto"/>
          <w:lang w:val="en-US" w:eastAsia="fr-FR" w:bidi="x-none"/>
        </w:rPr>
      </w:pPr>
      <w:r w:rsidRPr="00EC7D3A">
        <w:rPr>
          <w:rFonts w:ascii="Times" w:eastAsia="Times New Roman" w:hAnsi="Times"/>
          <w:color w:val="auto"/>
          <w:sz w:val="20"/>
          <w:lang w:val="en-US" w:eastAsia="fr-FR" w:bidi="x-none"/>
        </w:rPr>
        <w:fldChar w:fldCharType="begin"/>
      </w:r>
      <w:r w:rsidRPr="00EC7D3A">
        <w:rPr>
          <w:rFonts w:ascii="Times" w:eastAsia="Times New Roman" w:hAnsi="Times"/>
          <w:color w:val="auto"/>
          <w:sz w:val="20"/>
          <w:lang w:val="en-US" w:eastAsia="fr-FR" w:bidi="x-none"/>
        </w:rPr>
        <w:instrText xml:space="preserve"> ADDIN EN.REFLIST </w:instrText>
      </w:r>
      <w:r w:rsidRPr="00EC7D3A">
        <w:rPr>
          <w:rFonts w:ascii="Times" w:eastAsia="Times New Roman" w:hAnsi="Times"/>
          <w:color w:val="auto"/>
          <w:sz w:val="20"/>
          <w:lang w:val="en-US" w:eastAsia="fr-FR" w:bidi="x-none"/>
        </w:rPr>
        <w:fldChar w:fldCharType="separate"/>
      </w:r>
      <w:bookmarkStart w:id="0" w:name="_ENREF_1"/>
      <w:r w:rsidRPr="00EC7D3A">
        <w:rPr>
          <w:rFonts w:eastAsia="Times New Roman"/>
          <w:noProof/>
          <w:color w:val="auto"/>
          <w:lang w:val="en-US" w:eastAsia="fr-FR" w:bidi="x-none"/>
        </w:rPr>
        <w:t>1. Lefevre JC, Claverys JP, Sicard AM (1979) Donor deoxyribonucleic acid length and marker effect in pneumococcal transformation. Journal of bacteriology 138: 80-86.</w:t>
      </w:r>
      <w:bookmarkEnd w:id="0"/>
    </w:p>
    <w:p w14:paraId="31B4788A" w14:textId="77777777" w:rsidR="00AD25C9" w:rsidRPr="00EC7D3A" w:rsidRDefault="00AD25C9" w:rsidP="00AD25C9">
      <w:pPr>
        <w:ind w:left="720" w:hanging="720"/>
        <w:jc w:val="both"/>
        <w:rPr>
          <w:rFonts w:eastAsia="Times New Roman"/>
          <w:noProof/>
          <w:color w:val="auto"/>
          <w:lang w:val="en-US" w:eastAsia="fr-FR" w:bidi="x-none"/>
        </w:rPr>
      </w:pPr>
      <w:bookmarkStart w:id="1" w:name="_ENREF_2"/>
      <w:r w:rsidRPr="00EC7D3A">
        <w:rPr>
          <w:rFonts w:eastAsia="Times New Roman"/>
          <w:noProof/>
          <w:color w:val="auto"/>
          <w:lang w:val="en-US" w:eastAsia="fr-FR" w:bidi="x-none"/>
        </w:rPr>
        <w:t>2. Dopazo J, Mendoza A, Herrero J, Caldara F, Humbert Y, et al. (2001) Annotated draft genomic sequence from a Streptococcus pneumoniae type 19F clinical isolate. Microbial drug resistance 7: 99-125.</w:t>
      </w:r>
      <w:bookmarkEnd w:id="1"/>
    </w:p>
    <w:p w14:paraId="73810405" w14:textId="77777777" w:rsidR="00AD25C9" w:rsidRPr="00EC7D3A" w:rsidRDefault="00AD25C9" w:rsidP="00AD25C9">
      <w:pPr>
        <w:ind w:left="720" w:hanging="720"/>
        <w:jc w:val="both"/>
        <w:rPr>
          <w:rFonts w:eastAsia="Times New Roman"/>
          <w:noProof/>
          <w:color w:val="auto"/>
          <w:lang w:val="en-US" w:eastAsia="fr-FR" w:bidi="x-none"/>
        </w:rPr>
      </w:pPr>
      <w:bookmarkStart w:id="2" w:name="_ENREF_3"/>
      <w:r w:rsidRPr="00EC7D3A">
        <w:rPr>
          <w:rFonts w:eastAsia="Times New Roman"/>
          <w:noProof/>
          <w:color w:val="auto"/>
          <w:lang w:val="en-US" w:eastAsia="fr-FR" w:bidi="x-none"/>
        </w:rPr>
        <w:t>3. Pestova EV, Havarstein LS, Morrison DA (1996) Regulation of competence for genetic transformation in Streptococcus pneumoniae by an auto-induced peptide pheromone and a two-component regulatory system. Molecular microbiology 21: 853-862.</w:t>
      </w:r>
      <w:bookmarkEnd w:id="2"/>
    </w:p>
    <w:p w14:paraId="3784355E" w14:textId="77777777" w:rsidR="00AD25C9" w:rsidRPr="00EC7D3A" w:rsidRDefault="00AD25C9" w:rsidP="00AD25C9">
      <w:pPr>
        <w:ind w:left="720" w:hanging="720"/>
        <w:jc w:val="both"/>
        <w:rPr>
          <w:rFonts w:eastAsia="Times New Roman"/>
          <w:noProof/>
          <w:color w:val="auto"/>
          <w:lang w:val="en-US" w:eastAsia="fr-FR" w:bidi="x-none"/>
        </w:rPr>
      </w:pPr>
      <w:bookmarkStart w:id="3" w:name="_ENREF_4"/>
      <w:r w:rsidRPr="00EC7D3A">
        <w:rPr>
          <w:rFonts w:eastAsia="Times New Roman"/>
          <w:noProof/>
          <w:color w:val="auto"/>
          <w:lang w:val="en-US" w:eastAsia="fr-FR" w:bidi="x-none"/>
        </w:rPr>
        <w:t>4. Dagkessamanskaia A, Moscoso M, Henard V, Guiral S, Overweg K, et al. (2004) Interconnection of competence, stress and CiaR regulons in Streptococcus pneumoniae: competence triggers stationary phase autolysis of ciaR mutant cells. Molecular microbiology 51: 1071-1086.</w:t>
      </w:r>
      <w:bookmarkEnd w:id="3"/>
    </w:p>
    <w:p w14:paraId="6600333C" w14:textId="77777777" w:rsidR="00AD25C9" w:rsidRPr="00EC7D3A" w:rsidRDefault="00AD25C9" w:rsidP="00AD25C9">
      <w:pPr>
        <w:ind w:left="720" w:hanging="720"/>
        <w:jc w:val="both"/>
        <w:rPr>
          <w:rFonts w:eastAsia="Times New Roman"/>
          <w:noProof/>
          <w:color w:val="auto"/>
          <w:lang w:val="en-US" w:eastAsia="fr-FR" w:bidi="x-none"/>
        </w:rPr>
      </w:pPr>
      <w:bookmarkStart w:id="4" w:name="_ENREF_5"/>
      <w:r w:rsidRPr="00EC7D3A">
        <w:rPr>
          <w:rFonts w:eastAsia="Times New Roman"/>
          <w:noProof/>
          <w:color w:val="auto"/>
          <w:lang w:val="en-US" w:eastAsia="fr-FR" w:bidi="x-none"/>
        </w:rPr>
        <w:t>5. Mortier-Barriere I, de Saizieu A, Claverys JP, Martin B (1998) Competence-specific induction of recA is required for full recombination proficiency during transformation in Streptococcus pneumoniae. Molecular microbiology 27: 159-170.</w:t>
      </w:r>
      <w:bookmarkEnd w:id="4"/>
    </w:p>
    <w:p w14:paraId="30BA67B4" w14:textId="77777777" w:rsidR="00AD25C9" w:rsidRPr="00EC7D3A" w:rsidRDefault="00AD25C9" w:rsidP="00AD25C9">
      <w:pPr>
        <w:ind w:left="720" w:hanging="720"/>
        <w:jc w:val="both"/>
        <w:rPr>
          <w:rFonts w:eastAsia="Times New Roman"/>
          <w:noProof/>
          <w:color w:val="auto"/>
          <w:lang w:val="en-US" w:eastAsia="fr-FR" w:bidi="x-none"/>
        </w:rPr>
      </w:pPr>
      <w:bookmarkStart w:id="5" w:name="_ENREF_6"/>
      <w:r w:rsidRPr="00EC7D3A">
        <w:rPr>
          <w:rFonts w:eastAsia="Times New Roman"/>
          <w:noProof/>
          <w:color w:val="auto"/>
          <w:lang w:val="en-US" w:eastAsia="fr-FR" w:bidi="x-none"/>
        </w:rPr>
        <w:t xml:space="preserve">6. Martin B, Granadel C, Campo N, Henard V, Prudhomme M, et al. (2010) Expression and maintenance of ComD-ComE, the two-component signal-transduction system that </w:t>
      </w:r>
      <w:r w:rsidRPr="00EC7D3A">
        <w:rPr>
          <w:rFonts w:eastAsia="Times New Roman"/>
          <w:noProof/>
          <w:color w:val="auto"/>
          <w:lang w:val="en-US" w:eastAsia="fr-FR" w:bidi="x-none"/>
        </w:rPr>
        <w:lastRenderedPageBreak/>
        <w:t>controls competence of Streptococcus pneumoniae. Molecular microbiology 75: 1513-1528.</w:t>
      </w:r>
      <w:bookmarkEnd w:id="5"/>
    </w:p>
    <w:p w14:paraId="7A29353C" w14:textId="77777777" w:rsidR="00AD25C9" w:rsidRPr="00EC7D3A" w:rsidRDefault="00AD25C9" w:rsidP="00AD25C9">
      <w:pPr>
        <w:jc w:val="both"/>
        <w:rPr>
          <w:rFonts w:ascii="Times" w:eastAsia="Times New Roman" w:hAnsi="Times"/>
          <w:noProof/>
          <w:color w:val="auto"/>
          <w:sz w:val="20"/>
          <w:lang w:val="en-US" w:eastAsia="fr-FR" w:bidi="x-none"/>
        </w:rPr>
      </w:pPr>
    </w:p>
    <w:p w14:paraId="19EC3EA1" w14:textId="77777777" w:rsidR="004631F6" w:rsidRDefault="00AD25C9" w:rsidP="00AD25C9">
      <w:r w:rsidRPr="00EC7D3A">
        <w:rPr>
          <w:rFonts w:ascii="Times" w:eastAsia="Times New Roman" w:hAnsi="Times"/>
          <w:color w:val="auto"/>
          <w:sz w:val="20"/>
          <w:lang w:val="en-US" w:eastAsia="fr-FR" w:bidi="x-none"/>
        </w:rPr>
        <w:fldChar w:fldCharType="end"/>
      </w:r>
      <w:bookmarkStart w:id="6" w:name="_GoBack"/>
      <w:bookmarkEnd w:id="6"/>
    </w:p>
    <w:sectPr w:rsidR="004631F6" w:rsidSect="002878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7A"/>
    <w:rsid w:val="0028789D"/>
    <w:rsid w:val="004631F6"/>
    <w:rsid w:val="00903E7A"/>
    <w:rsid w:val="00A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AB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7A"/>
    <w:rPr>
      <w:rFonts w:ascii="Cambria" w:eastAsia="ヒラギノ角ゴ Pro W3" w:hAnsi="Cambria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03E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7A"/>
    <w:rPr>
      <w:rFonts w:ascii="Cambria" w:eastAsia="ヒラギノ角ゴ Pro W3" w:hAnsi="Cambria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03E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10160</Characters>
  <Application>Microsoft Macintosh Word</Application>
  <DocSecurity>0</DocSecurity>
  <Lines>84</Lines>
  <Paragraphs>23</Paragraphs>
  <ScaleCrop>false</ScaleCrop>
  <Company>Institut Pasteur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FRONZES</dc:creator>
  <cp:keywords/>
  <dc:description/>
  <cp:lastModifiedBy>Rémi FRONZES</cp:lastModifiedBy>
  <cp:revision>2</cp:revision>
  <dcterms:created xsi:type="dcterms:W3CDTF">2013-05-23T16:39:00Z</dcterms:created>
  <dcterms:modified xsi:type="dcterms:W3CDTF">2013-05-24T08:03:00Z</dcterms:modified>
</cp:coreProperties>
</file>