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87" w:rsidRPr="00C1340D" w:rsidRDefault="00D54533" w:rsidP="00D46087">
      <w:pPr>
        <w:spacing w:line="480" w:lineRule="auto"/>
        <w:jc w:val="both"/>
        <w:rPr>
          <w:b/>
          <w:u w:val="single"/>
        </w:rPr>
      </w:pPr>
      <w:r w:rsidRPr="00C1340D">
        <w:rPr>
          <w:b/>
          <w:color w:val="000000"/>
          <w:u w:val="single"/>
        </w:rPr>
        <w:t xml:space="preserve">Supplementary </w:t>
      </w:r>
      <w:r w:rsidRPr="00C1340D">
        <w:rPr>
          <w:b/>
          <w:u w:val="single"/>
        </w:rPr>
        <w:t>Materials and Methods</w:t>
      </w:r>
    </w:p>
    <w:p w:rsidR="00D46087" w:rsidRPr="00C1340D" w:rsidRDefault="00195BC0" w:rsidP="00D46087">
      <w:pPr>
        <w:spacing w:line="480" w:lineRule="auto"/>
        <w:jc w:val="both"/>
        <w:rPr>
          <w:b/>
          <w:color w:val="000000"/>
        </w:rPr>
      </w:pPr>
    </w:p>
    <w:p w:rsidR="00D46087" w:rsidRPr="00C1340D" w:rsidRDefault="00D54533" w:rsidP="00D46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rPr>
      </w:pPr>
      <w:r w:rsidRPr="00C1340D">
        <w:rPr>
          <w:b/>
        </w:rPr>
        <w:t xml:space="preserve">ES cell culture </w:t>
      </w:r>
    </w:p>
    <w:p w:rsidR="00D46087" w:rsidRPr="00C1340D" w:rsidRDefault="00D54533" w:rsidP="00D46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rPr>
      </w:pPr>
      <w:r w:rsidRPr="00C1340D">
        <w:rPr>
          <w:color w:val="000000"/>
        </w:rPr>
        <w:t xml:space="preserve">CCE mouse ESCs (a gift by Liz Robertson) and CK35 ESCs (a gift from Chantal Kress) were cultured on mitomycin treated SNL feeders plated on gelatin (Sigma), in Dulbecco’s Modified Eagle’s Medium (DMEM, Gibco) supplemented with 15% heat-inactivated ES-qualified fetal bovine serum (FBS, Gibco) and 0.1 mM </w:t>
      </w:r>
      <w:r w:rsidRPr="00C1340D">
        <w:rPr>
          <w:rFonts w:ascii="Symbol" w:hAnsi="Symbol"/>
        </w:rPr>
        <w:t></w:t>
      </w:r>
      <w:r w:rsidRPr="00C1340D">
        <w:rPr>
          <w:color w:val="000000"/>
        </w:rPr>
        <w:t>-mercaptoethanol (Sigma) at 37ºC and 5% CO</w:t>
      </w:r>
      <w:r w:rsidRPr="00C1340D">
        <w:rPr>
          <w:color w:val="000000"/>
          <w:vertAlign w:val="subscript"/>
        </w:rPr>
        <w:t>2</w:t>
      </w:r>
      <w:r w:rsidRPr="00C1340D">
        <w:rPr>
          <w:color w:val="000000"/>
        </w:rPr>
        <w:t xml:space="preserve">. ZHbTc4 and RCNbH cells (a gift by Veronique Azuara) were cultured on gelatin in Glasgow Minimum Essential Medium (GMEM, Gibco) supplemented with 15% FBS, MEM Non-Essential Amino Acids (MEM-NEAA, Gibco), 1mM Sodium Pyruvate (Gibco), 0.075% Sodium Bicarbonate (Sigma), 0.1mM </w:t>
      </w:r>
      <w:r w:rsidRPr="00C1340D">
        <w:rPr>
          <w:rFonts w:ascii="Symbol" w:hAnsi="Symbol"/>
        </w:rPr>
        <w:t></w:t>
      </w:r>
      <w:r w:rsidRPr="00C1340D">
        <w:rPr>
          <w:color w:val="000000"/>
        </w:rPr>
        <w:t>-mercaptoethanol, 2mM L-Glutamine (Gibco), 100 U/ml penicillin (Gibco), 0.1mg/ml streptomycin (Gibco) and 1000U/ml LIF (PAA). Cells were passaged every 2 days using 0.05% Trypsin (Gibco)..</w:t>
      </w:r>
    </w:p>
    <w:p w:rsidR="00D46087" w:rsidRPr="00C1340D" w:rsidRDefault="00195BC0" w:rsidP="00D46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rPr>
      </w:pPr>
    </w:p>
    <w:p w:rsidR="00D46087" w:rsidRPr="00C1340D" w:rsidRDefault="00D54533" w:rsidP="00D46087">
      <w:pPr>
        <w:spacing w:line="480" w:lineRule="auto"/>
        <w:jc w:val="both"/>
        <w:rPr>
          <w:b/>
          <w:color w:val="000000"/>
        </w:rPr>
      </w:pPr>
      <w:r w:rsidRPr="00C1340D">
        <w:rPr>
          <w:b/>
          <w:color w:val="000000"/>
        </w:rPr>
        <w:t>Immunofluorescence</w:t>
      </w:r>
    </w:p>
    <w:p w:rsidR="00D46087" w:rsidRPr="00C1340D" w:rsidRDefault="00D54533" w:rsidP="00D46087">
      <w:pPr>
        <w:spacing w:line="480" w:lineRule="auto"/>
        <w:jc w:val="both"/>
        <w:rPr>
          <w:color w:val="141413"/>
        </w:rPr>
      </w:pPr>
      <w:r w:rsidRPr="00C1340D">
        <w:rPr>
          <w:color w:val="141413"/>
        </w:rPr>
        <w:t>Antibodies were used in the following combinations: rabbit anti-GFP and donkey anti-rabbit Alexa 488 (both Molecular probes), goat anti-Gata4 (Santa Cruz) or goat anti-Oct4 (Santa Cruz) and donkey anti-goat Alexa 647 (Molecular probes), goat anti-GFP (AbCam) and donkey anti-goat Alexa488 (Molecular probes), rabbit anti-Nanog (Cosmo bio) and donkey anti-rabbit Alexa 568 (Molecular probes). All antibodies were used at a 1/200 dilution except for the anti-Oct4 which was used at a 1/100 dilution. Cortical actin was stained with Alexa 568-conjugated Phalloidin, except when associated with Nanog staining, Alexa 647-conjugated Phalloidin was then used.</w:t>
      </w:r>
    </w:p>
    <w:p w:rsidR="00D46087" w:rsidRPr="00C1340D" w:rsidRDefault="00195BC0" w:rsidP="00D46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color w:val="000000"/>
        </w:rPr>
      </w:pPr>
    </w:p>
    <w:p w:rsidR="00D46087" w:rsidRPr="00C1340D" w:rsidRDefault="00195BC0" w:rsidP="00D46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color w:val="000000"/>
        </w:rPr>
      </w:pPr>
    </w:p>
    <w:p w:rsidR="00D46087" w:rsidRPr="00C1340D" w:rsidRDefault="00D54533" w:rsidP="00D46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color w:val="000000"/>
        </w:rPr>
      </w:pPr>
      <w:r w:rsidRPr="00C1340D">
        <w:rPr>
          <w:b/>
          <w:color w:val="000000"/>
        </w:rPr>
        <w:lastRenderedPageBreak/>
        <w:t>Site directed mutagenesis</w:t>
      </w:r>
    </w:p>
    <w:p w:rsidR="00D46087" w:rsidRPr="00C1340D" w:rsidRDefault="00D54533" w:rsidP="00D46087">
      <w:pPr>
        <w:spacing w:line="480" w:lineRule="auto"/>
        <w:jc w:val="both"/>
        <w:rPr>
          <w:i/>
          <w:color w:val="000000"/>
        </w:rPr>
      </w:pPr>
      <w:r w:rsidRPr="00C1340D">
        <w:rPr>
          <w:color w:val="000000"/>
        </w:rPr>
        <w:t>Only the forward sequence is indicated. Lower case designate the mutated bases</w:t>
      </w:r>
    </w:p>
    <w:p w:rsidR="00D46087" w:rsidRPr="00C1340D" w:rsidRDefault="00D54533" w:rsidP="00D46087">
      <w:pPr>
        <w:autoSpaceDE w:val="0"/>
        <w:autoSpaceDN w:val="0"/>
        <w:adjustRightInd w:val="0"/>
        <w:spacing w:line="480" w:lineRule="auto"/>
        <w:jc w:val="both"/>
        <w:rPr>
          <w:color w:val="000000"/>
        </w:rPr>
      </w:pPr>
      <w:r w:rsidRPr="00C1340D">
        <w:rPr>
          <w:color w:val="000000"/>
        </w:rPr>
        <w:t>Nanog/Sox2-A (5’-GTA CAT GCT AGG ACC CAG GGG C C/t A/g TT/aG GCC TCT GGG GAG AGG TCT G-3’)</w:t>
      </w:r>
    </w:p>
    <w:p w:rsidR="00D46087" w:rsidRPr="00C1340D" w:rsidRDefault="00D54533" w:rsidP="00D46087">
      <w:pPr>
        <w:autoSpaceDE w:val="0"/>
        <w:autoSpaceDN w:val="0"/>
        <w:adjustRightInd w:val="0"/>
        <w:spacing w:line="480" w:lineRule="auto"/>
        <w:jc w:val="both"/>
        <w:rPr>
          <w:color w:val="000000"/>
        </w:rPr>
      </w:pPr>
      <w:r w:rsidRPr="00C1340D">
        <w:rPr>
          <w:color w:val="000000"/>
        </w:rPr>
        <w:t>Klf4-A (5’-ATC CTA CTA GGT AAC TTG GC/aC CA/tC CC/aA GGT TTC CAA AGC CTT CAG-3’)</w:t>
      </w:r>
    </w:p>
    <w:p w:rsidR="00D46087" w:rsidRPr="00C1340D" w:rsidRDefault="00D54533" w:rsidP="00D46087">
      <w:pPr>
        <w:autoSpaceDE w:val="0"/>
        <w:autoSpaceDN w:val="0"/>
        <w:adjustRightInd w:val="0"/>
        <w:spacing w:line="480" w:lineRule="auto"/>
        <w:jc w:val="both"/>
        <w:rPr>
          <w:color w:val="000000"/>
        </w:rPr>
      </w:pPr>
      <w:r w:rsidRPr="00C1340D">
        <w:rPr>
          <w:color w:val="000000"/>
        </w:rPr>
        <w:t>Oct4-A (5’-</w:t>
      </w:r>
      <w:r w:rsidRPr="00C1340D">
        <w:t xml:space="preserve"> </w:t>
      </w:r>
      <w:r w:rsidRPr="00C1340D">
        <w:rPr>
          <w:color w:val="000000"/>
        </w:rPr>
        <w:t>GAT AAG AAC CCC TGG GGT GCT CGA TGA ATA/c T/gG/cT AGA TAG CCA CGC CCT CTC TCC AAA TTC CAC-3’)</w:t>
      </w:r>
    </w:p>
    <w:p w:rsidR="00D46087" w:rsidRPr="00C1340D" w:rsidRDefault="00D54533" w:rsidP="00D46087">
      <w:pPr>
        <w:autoSpaceDE w:val="0"/>
        <w:autoSpaceDN w:val="0"/>
        <w:adjustRightInd w:val="0"/>
        <w:spacing w:line="480" w:lineRule="auto"/>
        <w:jc w:val="both"/>
        <w:rPr>
          <w:color w:val="000000"/>
        </w:rPr>
      </w:pPr>
      <w:r w:rsidRPr="00C1340D">
        <w:rPr>
          <w:color w:val="000000"/>
        </w:rPr>
        <w:t>Klf4-B (5’-GAT GAA TAT GTA GAT AGC CAC/g GC/tC/a CTC TCT CCA AAT TCC ACT TCT G-3’)</w:t>
      </w:r>
    </w:p>
    <w:p w:rsidR="00D46087" w:rsidRPr="00C1340D" w:rsidRDefault="00D54533" w:rsidP="00D46087">
      <w:pPr>
        <w:autoSpaceDE w:val="0"/>
        <w:autoSpaceDN w:val="0"/>
        <w:adjustRightInd w:val="0"/>
        <w:spacing w:line="480" w:lineRule="auto"/>
        <w:jc w:val="both"/>
        <w:rPr>
          <w:color w:val="000000"/>
        </w:rPr>
      </w:pPr>
      <w:r w:rsidRPr="00C1340D">
        <w:rPr>
          <w:color w:val="000000"/>
        </w:rPr>
        <w:t>Sox2 (5’-CGG AGG GAA TTT TGG GGC TTA AC/gA AAC AGT TCA GGA GAC AGC GTC C-3’)</w:t>
      </w:r>
    </w:p>
    <w:p w:rsidR="00D46087" w:rsidRPr="00C1340D" w:rsidRDefault="00D54533" w:rsidP="00D46087">
      <w:pPr>
        <w:autoSpaceDE w:val="0"/>
        <w:autoSpaceDN w:val="0"/>
        <w:adjustRightInd w:val="0"/>
        <w:spacing w:line="480" w:lineRule="auto"/>
        <w:jc w:val="both"/>
        <w:rPr>
          <w:color w:val="000000"/>
        </w:rPr>
      </w:pPr>
      <w:r w:rsidRPr="00C1340D">
        <w:rPr>
          <w:color w:val="000000"/>
        </w:rPr>
        <w:t>Klf4-C (deletion) (5’-CAC AAG TGC TCT GCA CTG TTG TGG CTC AAT TCC TAT TGT TTT TAC TTA GCA CG-3’)</w:t>
      </w:r>
    </w:p>
    <w:p w:rsidR="00D46087" w:rsidRPr="00C1340D" w:rsidRDefault="00D54533" w:rsidP="00D46087">
      <w:pPr>
        <w:autoSpaceDE w:val="0"/>
        <w:autoSpaceDN w:val="0"/>
        <w:adjustRightInd w:val="0"/>
        <w:spacing w:line="480" w:lineRule="auto"/>
        <w:jc w:val="both"/>
        <w:rPr>
          <w:color w:val="000000"/>
        </w:rPr>
      </w:pPr>
      <w:r w:rsidRPr="00C1340D">
        <w:rPr>
          <w:color w:val="000000"/>
        </w:rPr>
        <w:t>Klf4-D (5’-CTG GGC TAC ACA AGA CCC TGT/g TTA G/tGG TGG GG/tT GGG /tGAG CTT AAG ACT AGA CT-3’)</w:t>
      </w:r>
    </w:p>
    <w:p w:rsidR="00D46087" w:rsidRPr="00C1340D" w:rsidRDefault="00D54533" w:rsidP="00D46087">
      <w:pPr>
        <w:autoSpaceDE w:val="0"/>
        <w:autoSpaceDN w:val="0"/>
        <w:adjustRightInd w:val="0"/>
        <w:spacing w:line="480" w:lineRule="auto"/>
        <w:jc w:val="both"/>
        <w:rPr>
          <w:color w:val="000000"/>
        </w:rPr>
      </w:pPr>
      <w:r w:rsidRPr="00C1340D">
        <w:rPr>
          <w:color w:val="000000"/>
        </w:rPr>
        <w:t>Klf4-E (5’-AGG CTT GAA GGG GGC A/cG/tG GTG GGG GT/aG/a GGG AGT AAC TAA GAG-3)</w:t>
      </w:r>
    </w:p>
    <w:p w:rsidR="00D46087" w:rsidRPr="00C1340D" w:rsidRDefault="00D54533" w:rsidP="00D46087">
      <w:pPr>
        <w:autoSpaceDE w:val="0"/>
        <w:autoSpaceDN w:val="0"/>
        <w:adjustRightInd w:val="0"/>
        <w:spacing w:line="480" w:lineRule="auto"/>
        <w:jc w:val="both"/>
        <w:rPr>
          <w:color w:val="000000"/>
        </w:rPr>
      </w:pPr>
      <w:r w:rsidRPr="00C1340D">
        <w:rPr>
          <w:color w:val="000000"/>
        </w:rPr>
        <w:t>Oct4-B (5’-CGG ACT TTG GGA CAG GAA TTT AC/gA/c T/gTT CTT TAA AGG TAA TTT CTA TCC CGC C-3’)</w:t>
      </w:r>
    </w:p>
    <w:p w:rsidR="00D46087" w:rsidRPr="00C1340D" w:rsidRDefault="00D54533" w:rsidP="00D46087">
      <w:pPr>
        <w:autoSpaceDE w:val="0"/>
        <w:autoSpaceDN w:val="0"/>
        <w:adjustRightInd w:val="0"/>
        <w:spacing w:line="480" w:lineRule="auto"/>
        <w:jc w:val="both"/>
        <w:rPr>
          <w:color w:val="000000"/>
        </w:rPr>
      </w:pPr>
      <w:r w:rsidRPr="00C1340D">
        <w:rPr>
          <w:color w:val="000000"/>
        </w:rPr>
        <w:t>Nanog/Sox2-B (5’-CTA TCC CGC CTT CCC TTT TGA AAA CAC AA/gA GGC TAG GAT CTT TCC ATC CTG CAA ATT CTC-3’)</w:t>
      </w:r>
    </w:p>
    <w:p w:rsidR="00D46087" w:rsidRPr="00C1340D" w:rsidRDefault="00D54533" w:rsidP="00D46087">
      <w:pPr>
        <w:autoSpaceDE w:val="0"/>
        <w:autoSpaceDN w:val="0"/>
        <w:adjustRightInd w:val="0"/>
        <w:spacing w:line="480" w:lineRule="auto"/>
        <w:jc w:val="both"/>
        <w:rPr>
          <w:color w:val="000000"/>
        </w:rPr>
      </w:pPr>
      <w:r w:rsidRPr="00C1340D">
        <w:rPr>
          <w:color w:val="000000"/>
        </w:rPr>
        <w:t>Oct4-C (5’-CCC TTT TGA AAA CAC AAA GGC TAG GAT CT/aT TCC/g ATC CTG CAA ATT CTC TTC TCA ATG GC-3’)</w:t>
      </w:r>
    </w:p>
    <w:p w:rsidR="00D46087" w:rsidRPr="00C1340D" w:rsidRDefault="00D54533" w:rsidP="00D46087">
      <w:pPr>
        <w:autoSpaceDE w:val="0"/>
        <w:autoSpaceDN w:val="0"/>
        <w:adjustRightInd w:val="0"/>
        <w:spacing w:line="480" w:lineRule="auto"/>
        <w:jc w:val="both"/>
        <w:rPr>
          <w:color w:val="000000"/>
        </w:rPr>
      </w:pPr>
      <w:r w:rsidRPr="00C1340D">
        <w:rPr>
          <w:color w:val="000000"/>
        </w:rPr>
        <w:lastRenderedPageBreak/>
        <w:t>Additional primers containing both Oct4-A and Klf4-B as well as Nanog/Sox2-C and Oct4-B mutations were used to introduce them together.</w:t>
      </w:r>
    </w:p>
    <w:p w:rsidR="00D46087" w:rsidRPr="00C1340D" w:rsidRDefault="00195BC0" w:rsidP="00D46087">
      <w:pPr>
        <w:autoSpaceDE w:val="0"/>
        <w:autoSpaceDN w:val="0"/>
        <w:adjustRightInd w:val="0"/>
        <w:spacing w:line="480" w:lineRule="auto"/>
        <w:jc w:val="both"/>
        <w:rPr>
          <w:color w:val="000000"/>
        </w:rPr>
      </w:pPr>
    </w:p>
    <w:p w:rsidR="00D46087" w:rsidRPr="00C1340D" w:rsidRDefault="00D54533" w:rsidP="00D46087">
      <w:pPr>
        <w:autoSpaceDE w:val="0"/>
        <w:autoSpaceDN w:val="0"/>
        <w:adjustRightInd w:val="0"/>
        <w:spacing w:line="480" w:lineRule="auto"/>
        <w:jc w:val="both"/>
        <w:rPr>
          <w:b/>
          <w:color w:val="000000"/>
        </w:rPr>
      </w:pPr>
      <w:r w:rsidRPr="00C1340D">
        <w:rPr>
          <w:b/>
          <w:color w:val="000000"/>
        </w:rPr>
        <w:t xml:space="preserve">Gel Shift Assay </w:t>
      </w:r>
    </w:p>
    <w:p w:rsidR="00D46087" w:rsidRPr="00C1340D" w:rsidRDefault="00D54533" w:rsidP="00D46087">
      <w:pPr>
        <w:autoSpaceDE w:val="0"/>
        <w:autoSpaceDN w:val="0"/>
        <w:adjustRightInd w:val="0"/>
        <w:spacing w:line="480" w:lineRule="auto"/>
        <w:jc w:val="both"/>
        <w:rPr>
          <w:color w:val="000000"/>
        </w:rPr>
      </w:pPr>
      <w:r w:rsidRPr="00C1340D">
        <w:rPr>
          <w:color w:val="000000"/>
        </w:rPr>
        <w:t xml:space="preserve">Cell extracts were prepared as described </w:t>
      </w:r>
      <w:r w:rsidRPr="00C1340D">
        <w:rPr>
          <w:color w:val="000000"/>
        </w:rPr>
        <w:fldChar w:fldCharType="begin"/>
      </w:r>
      <w:r w:rsidRPr="00C1340D">
        <w:rPr>
          <w:color w:val="000000"/>
        </w:rPr>
        <w:instrText xml:space="preserve"> </w:instrText>
      </w:r>
      <w:r>
        <w:rPr>
          <w:color w:val="000000"/>
        </w:rPr>
        <w:instrText>ADDIN</w:instrText>
      </w:r>
      <w:r w:rsidRPr="00C1340D">
        <w:rPr>
          <w:color w:val="000000"/>
        </w:rPr>
        <w:instrText xml:space="preserve"> EN.CITE &lt;EndNote&gt;&lt;Cite&gt;&lt;Author&gt;Mezger&lt;/Author&gt;&lt;Year&gt;1989&lt;/Year&gt;&lt;RecNum&gt;50&lt;/RecNum&gt;&lt;record&gt;&lt;rec-number&gt;50&lt;/rec-number&gt;&lt;foreign-keys&gt;&lt;key app="EN" db-id="wafxess2av29a6eazr85e5p6tfra5vsesv9s"&gt;50&lt;/key&gt;&lt;/foreign-keys&gt;&lt;ref-type name="Journal Article"&gt;17&lt;/ref-type&gt;&lt;contributors&gt;&lt;authors&gt;&lt;author&gt;Mezger, V.&lt;/author&gt;&lt;author&gt;Bensaude, O.&lt;/author&gt;&lt;author&gt;Morange, M.&lt;/author&gt;&lt;/authors&gt;&lt;/contributors&gt;&lt;auth-address&gt;Laboratoire de Biologie Moleculaire du Stress, Institut Pasteur, Paris, France.&lt;/auth-address&gt;&lt;titles&gt;&lt;title&gt;Unusual levels of heat shock element-binding activity in embryonal carcinoma cells&lt;/title&gt;&lt;secondary-title&gt;Mol Cell Biol&lt;/secondary-title&gt;&lt;/titles&gt;&lt;pages&gt;3888-96&lt;/pages&gt;&lt;volume&gt;9&lt;/volume&gt;&lt;number&gt;9&lt;/number&gt;&lt;edition&gt;1989/09/01&lt;/edition&gt;&lt;keywords&gt;&lt;keyword&gt;Animals&lt;/keyword&gt;&lt;keyword&gt;Base Sequence&lt;/keyword&gt;&lt;keyword&gt;Cell Differentiation&lt;/keyword&gt;&lt;keyword&gt;DNA, Neoplasm/genetics&lt;/keyword&gt;&lt;keyword&gt;Gene Expression Regulation&lt;/keyword&gt;&lt;keyword&gt;Heat-Shock Proteins/genetics/*metabolism&lt;/keyword&gt;&lt;keyword&gt;Hot Temperature&lt;/keyword&gt;&lt;keyword&gt;Teratoma/genetics/metabolism&lt;/keyword&gt;&lt;keyword&gt;Tumor Cells, Cultured/*metabolism&lt;/keyword&gt;&lt;/keywords&gt;&lt;dates&gt;&lt;year&gt;1989&lt;/year&gt;&lt;pub-dates&gt;&lt;date&gt;Sep&lt;/date&gt;&lt;/pub-dates&gt;&lt;/dates&gt;&lt;isbn&gt;0270-7306 (Print)&amp;#xD;0270-7306 (Linking)&lt;/isbn&gt;&lt;accession-num&gt;2779570&lt;/accession-num&gt;&lt;urls&gt;&lt;related-urls&gt;&lt;url&gt;http://www.ncbi.nlm.nih.gov/entrez/query.fcgi?cmd=Retrieve&amp;amp;db=PubMed&amp;amp;dopt=Citation&amp;amp;list_uids=2779570&lt;/url&gt;&lt;/related-urls&gt;&lt;/urls&gt;&lt;language&gt;eng&lt;/language&gt;&lt;/record&gt;&lt;/Cite&gt;&lt;/EndNote&gt;</w:instrText>
      </w:r>
      <w:r w:rsidRPr="00C1340D">
        <w:rPr>
          <w:color w:val="000000"/>
        </w:rPr>
        <w:fldChar w:fldCharType="separate"/>
      </w:r>
      <w:r w:rsidR="00195BC0">
        <w:rPr>
          <w:color w:val="000000"/>
        </w:rPr>
        <w:t>[1</w:t>
      </w:r>
      <w:r w:rsidRPr="00C1340D" w:rsidDel="00BB40FE">
        <w:rPr>
          <w:color w:val="000000"/>
        </w:rPr>
        <w:t>]</w:t>
      </w:r>
      <w:r w:rsidRPr="00C1340D">
        <w:rPr>
          <w:color w:val="000000"/>
        </w:rPr>
        <w:fldChar w:fldCharType="end"/>
      </w:r>
      <w:r w:rsidRPr="00C1340D">
        <w:rPr>
          <w:color w:val="000000"/>
        </w:rPr>
        <w:t>. 5.10</w:t>
      </w:r>
      <w:r w:rsidRPr="00C1340D">
        <w:rPr>
          <w:color w:val="000000"/>
          <w:vertAlign w:val="superscript"/>
        </w:rPr>
        <w:t>6</w:t>
      </w:r>
      <w:r w:rsidRPr="00C1340D">
        <w:rPr>
          <w:color w:val="000000"/>
        </w:rPr>
        <w:t xml:space="preserve"> cells were submitted to 2–4 rapid freeze-thaw cycles, in 5 volumes of extraction buffer.</w:t>
      </w:r>
    </w:p>
    <w:p w:rsidR="00D46087" w:rsidRPr="00C1340D" w:rsidRDefault="00D54533" w:rsidP="00D46087">
      <w:pPr>
        <w:autoSpaceDE w:val="0"/>
        <w:autoSpaceDN w:val="0"/>
        <w:adjustRightInd w:val="0"/>
        <w:spacing w:line="480" w:lineRule="auto"/>
        <w:jc w:val="both"/>
        <w:rPr>
          <w:b/>
          <w:color w:val="000000"/>
        </w:rPr>
      </w:pPr>
      <w:r w:rsidRPr="00C1340D">
        <w:rPr>
          <w:color w:val="000000"/>
        </w:rPr>
        <w:t>Whole cell extracts (40</w:t>
      </w:r>
      <w:r w:rsidRPr="00C1340D">
        <w:rPr>
          <w:rFonts w:ascii="Times New Roman" w:hAnsi="Times New Roman"/>
        </w:rPr>
        <w:t>μ</w:t>
      </w:r>
      <w:r w:rsidRPr="00C1340D">
        <w:rPr>
          <w:color w:val="000000"/>
        </w:rPr>
        <w:t>g of proteins) were incubated with a (</w:t>
      </w:r>
      <w:r w:rsidRPr="00C1340D">
        <w:rPr>
          <w:color w:val="000000"/>
          <w:vertAlign w:val="superscript"/>
        </w:rPr>
        <w:t>32</w:t>
      </w:r>
      <w:r w:rsidRPr="00C1340D">
        <w:rPr>
          <w:color w:val="000000"/>
        </w:rPr>
        <w:t xml:space="preserve">P)-labeled oligonucleotide and complexes were separated on a native 4% polyacrylamide gel as described </w:t>
      </w:r>
      <w:r w:rsidRPr="00C1340D">
        <w:rPr>
          <w:color w:val="000000"/>
        </w:rPr>
        <w:fldChar w:fldCharType="begin">
          <w:fldData xml:space="preserve">RTxkbm9OZXQ8PmlDZXQ8PnVBaHRyb1I+bGF1bC88dUFodHJvPD5lWXJhMT45OTw3WS9hZT5yUjxj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</w:fldData>
        </w:fldChar>
      </w:r>
      <w:r w:rsidRPr="00C1340D">
        <w:rPr>
          <w:color w:val="000000"/>
        </w:rPr>
        <w:instrText xml:space="preserve"> </w:instrText>
      </w:r>
      <w:r>
        <w:rPr>
          <w:color w:val="000000"/>
        </w:rPr>
        <w:instrText>ADDIN</w:instrText>
      </w:r>
      <w:r w:rsidRPr="00C1340D">
        <w:rPr>
          <w:color w:val="000000"/>
        </w:rPr>
        <w:instrText xml:space="preserve"> EN.CITE </w:instrText>
      </w:r>
      <w:r w:rsidRPr="00C1340D" w:rsidDel="00BB40FE">
        <w:rPr>
          <w:color w:val="000000"/>
        </w:rPr>
        <w:fldChar w:fldCharType="begin">
          <w:fldData xml:space="preserve">RTxkbm9OZXQ8PmlDZXQ8PnVBaHRyb1I+bGF1bC88dUFodHJvPD5lWXJhMT45OTw3WS9hZT5yUjxj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</w:fldData>
        </w:fldChar>
      </w:r>
      <w:r w:rsidRPr="00C1340D" w:rsidDel="00BB40FE">
        <w:rPr>
          <w:color w:val="000000"/>
        </w:rPr>
        <w:instrText xml:space="preserve"> </w:instrText>
      </w:r>
      <w:r>
        <w:rPr>
          <w:color w:val="000000"/>
        </w:rPr>
        <w:instrText>ADDIN</w:instrText>
      </w:r>
      <w:r w:rsidRPr="00C1340D" w:rsidDel="00BB40FE">
        <w:rPr>
          <w:color w:val="000000"/>
        </w:rPr>
        <w:instrText xml:space="preserve"> EN.CITE.DATA </w:instrText>
      </w:r>
      <w:r w:rsidRPr="00C1340D" w:rsidDel="00BB40FE">
        <w:rPr>
          <w:color w:val="000000"/>
        </w:rPr>
      </w:r>
      <w:r w:rsidRPr="00C1340D" w:rsidDel="00BB40FE">
        <w:rPr>
          <w:color w:val="000000"/>
        </w:rPr>
        <w:fldChar w:fldCharType="end"/>
      </w:r>
      <w:r w:rsidRPr="00C1340D">
        <w:rPr>
          <w:color w:val="000000"/>
        </w:rPr>
      </w:r>
      <w:r w:rsidRPr="00C1340D">
        <w:rPr>
          <w:color w:val="000000"/>
        </w:rPr>
        <w:fldChar w:fldCharType="separate"/>
      </w:r>
      <w:r w:rsidR="00195BC0">
        <w:rPr>
          <w:color w:val="000000"/>
        </w:rPr>
        <w:t>[2</w:t>
      </w:r>
      <w:r w:rsidRPr="00C1340D" w:rsidDel="00BB40FE">
        <w:rPr>
          <w:color w:val="000000"/>
        </w:rPr>
        <w:t>]</w:t>
      </w:r>
      <w:r w:rsidRPr="00C1340D">
        <w:rPr>
          <w:color w:val="000000"/>
        </w:rPr>
        <w:fldChar w:fldCharType="end"/>
      </w:r>
      <w:r w:rsidRPr="00C1340D">
        <w:rPr>
          <w:color w:val="000000"/>
        </w:rPr>
        <w:t xml:space="preserve">. The components of the retarded complexes were analysed when possible by supershift using antibodies against HSF1, Oct4 or Nanog. </w:t>
      </w:r>
    </w:p>
    <w:p w:rsidR="00D46087" w:rsidRPr="00C1340D" w:rsidRDefault="00D54533" w:rsidP="00D46087">
      <w:pPr>
        <w:spacing w:line="480" w:lineRule="auto"/>
        <w:jc w:val="both"/>
        <w:rPr>
          <w:color w:val="000000"/>
        </w:rPr>
      </w:pPr>
      <w:r w:rsidRPr="00C1340D">
        <w:rPr>
          <w:color w:val="000000"/>
        </w:rPr>
        <w:t>The oligonucleotides used are double strand. The binding sites are underlined, lower case designate the mutated bases:</w:t>
      </w:r>
    </w:p>
    <w:p w:rsidR="00D46087" w:rsidRPr="00C1340D" w:rsidRDefault="00D54533" w:rsidP="00D46087">
      <w:pPr>
        <w:spacing w:line="480" w:lineRule="auto"/>
        <w:jc w:val="both"/>
        <w:rPr>
          <w:color w:val="000000"/>
        </w:rPr>
      </w:pPr>
      <w:r w:rsidRPr="00C1340D">
        <w:rPr>
          <w:color w:val="000000"/>
        </w:rPr>
        <w:t xml:space="preserve">HSE (5’-CTA GAA CGT TCT AGA AGC TTC GAG A-3’), </w:t>
      </w:r>
    </w:p>
    <w:p w:rsidR="00D46087" w:rsidRPr="00C1340D" w:rsidRDefault="00D54533" w:rsidP="00D46087">
      <w:pPr>
        <w:spacing w:line="480" w:lineRule="auto"/>
        <w:jc w:val="both"/>
        <w:rPr>
          <w:color w:val="000000"/>
        </w:rPr>
      </w:pPr>
      <w:r w:rsidRPr="00C1340D">
        <w:rPr>
          <w:color w:val="000000"/>
        </w:rPr>
        <w:t>Nanog WT (5’-</w:t>
      </w:r>
      <w:r w:rsidRPr="00C1340D">
        <w:t xml:space="preserve"> TAG GAC CCA </w:t>
      </w:r>
      <w:r w:rsidRPr="00C1340D">
        <w:rPr>
          <w:u w:val="single"/>
        </w:rPr>
        <w:t>GGG GCC ATT GG</w:t>
      </w:r>
      <w:r w:rsidRPr="00C1340D">
        <w:t>C CTC TGG GGA</w:t>
      </w:r>
      <w:r w:rsidRPr="00C1340D">
        <w:rPr>
          <w:color w:val="000000"/>
        </w:rPr>
        <w:t xml:space="preserve">-3’), </w:t>
      </w:r>
    </w:p>
    <w:p w:rsidR="00D46087" w:rsidRPr="00C1340D" w:rsidRDefault="00D54533" w:rsidP="00D46087">
      <w:pPr>
        <w:spacing w:line="480" w:lineRule="auto"/>
        <w:jc w:val="both"/>
        <w:rPr>
          <w:color w:val="000000"/>
        </w:rPr>
      </w:pPr>
      <w:r w:rsidRPr="00C1340D">
        <w:rPr>
          <w:color w:val="000000"/>
        </w:rPr>
        <w:t>Nanog MUT (5’</w:t>
      </w:r>
      <w:r w:rsidRPr="00C1340D">
        <w:rPr>
          <w:caps/>
        </w:rPr>
        <w:t xml:space="preserve">tag gac cca </w:t>
      </w:r>
      <w:r w:rsidRPr="00C1340D">
        <w:rPr>
          <w:caps/>
          <w:u w:val="single"/>
        </w:rPr>
        <w:t>ggg gc</w:t>
      </w:r>
      <w:r w:rsidRPr="00C1340D">
        <w:rPr>
          <w:u w:val="single"/>
        </w:rPr>
        <w:t xml:space="preserve">t gTa </w:t>
      </w:r>
      <w:r w:rsidRPr="00C1340D">
        <w:rPr>
          <w:caps/>
          <w:u w:val="single"/>
        </w:rPr>
        <w:t>gg</w:t>
      </w:r>
      <w:r w:rsidRPr="00C1340D">
        <w:rPr>
          <w:caps/>
        </w:rPr>
        <w:t>c ctc tgg gga</w:t>
      </w:r>
      <w:r w:rsidRPr="00C1340D">
        <w:rPr>
          <w:color w:val="000000"/>
        </w:rPr>
        <w:t xml:space="preserve"> -3’), </w:t>
      </w:r>
    </w:p>
    <w:p w:rsidR="00D46087" w:rsidRPr="00C1340D" w:rsidRDefault="00D54533" w:rsidP="00D46087">
      <w:pPr>
        <w:spacing w:line="480" w:lineRule="auto"/>
        <w:jc w:val="both"/>
        <w:rPr>
          <w:color w:val="000000"/>
        </w:rPr>
      </w:pPr>
      <w:r w:rsidRPr="00C1340D">
        <w:rPr>
          <w:color w:val="000000"/>
        </w:rPr>
        <w:t>Oct4 WT (5’-</w:t>
      </w:r>
      <w:r w:rsidRPr="00C1340D">
        <w:t xml:space="preserve"> TGG GGG CGG ACT TTG GGA CAG </w:t>
      </w:r>
      <w:r w:rsidRPr="00C1340D">
        <w:rPr>
          <w:u w:val="single"/>
        </w:rPr>
        <w:t>GAA TTT ACA TT</w:t>
      </w:r>
      <w:r w:rsidRPr="00C1340D">
        <w:t xml:space="preserve">T CTT TAA AGG TAA TTT CT </w:t>
      </w:r>
      <w:r w:rsidRPr="00C1340D">
        <w:rPr>
          <w:color w:val="000000"/>
        </w:rPr>
        <w:t xml:space="preserve">-3’), </w:t>
      </w:r>
    </w:p>
    <w:p w:rsidR="00D46087" w:rsidRPr="00C1340D" w:rsidRDefault="00D54533" w:rsidP="00D46087">
      <w:pPr>
        <w:spacing w:line="480" w:lineRule="auto"/>
        <w:jc w:val="both"/>
        <w:rPr>
          <w:color w:val="000000"/>
        </w:rPr>
      </w:pPr>
      <w:r w:rsidRPr="00C1340D">
        <w:rPr>
          <w:color w:val="000000"/>
        </w:rPr>
        <w:t>Oct4 MUT (5’-</w:t>
      </w:r>
      <w:r w:rsidRPr="00C1340D">
        <w:t xml:space="preserve"> TGG GGG CGG ACT TTG GGA CAG </w:t>
      </w:r>
      <w:r w:rsidRPr="00C1340D">
        <w:rPr>
          <w:u w:val="single"/>
        </w:rPr>
        <w:t>GAA TTT Agc gT</w:t>
      </w:r>
      <w:r w:rsidRPr="00C1340D">
        <w:t xml:space="preserve">T CTT TAA AGG TAA TTT CT </w:t>
      </w:r>
      <w:r w:rsidRPr="00C1340D">
        <w:rPr>
          <w:color w:val="000000"/>
        </w:rPr>
        <w:t>-3’).</w:t>
      </w:r>
    </w:p>
    <w:p w:rsidR="00D46087" w:rsidRPr="00C1340D" w:rsidRDefault="00D54533" w:rsidP="00D46087">
      <w:pPr>
        <w:spacing w:line="480" w:lineRule="auto"/>
        <w:jc w:val="both"/>
        <w:rPr>
          <w:color w:val="000000"/>
        </w:rPr>
      </w:pPr>
      <w:r w:rsidRPr="00C1340D">
        <w:rPr>
          <w:color w:val="000000"/>
        </w:rPr>
        <w:t>The components of the retarded complexes were analysed when possible by supershift using antibodies against HSF1 (10ng/</w:t>
      </w:r>
      <w:r w:rsidRPr="00C1340D">
        <w:rPr>
          <w:rFonts w:ascii="Times New Roman" w:hAnsi="Times New Roman"/>
        </w:rPr>
        <w:t>μ</w:t>
      </w:r>
      <w:r w:rsidRPr="00C1340D">
        <w:rPr>
          <w:color w:val="000000"/>
        </w:rPr>
        <w:t>l final; 3E2 Neomarkers), Oct4 (70ng/</w:t>
      </w:r>
      <w:r w:rsidRPr="00C1340D">
        <w:rPr>
          <w:rFonts w:ascii="Times New Roman" w:hAnsi="Times New Roman"/>
        </w:rPr>
        <w:t>μ</w:t>
      </w:r>
      <w:r w:rsidRPr="00C1340D">
        <w:rPr>
          <w:color w:val="000000"/>
        </w:rPr>
        <w:t>l final; SC8628 SantaCruz).</w:t>
      </w:r>
    </w:p>
    <w:p w:rsidR="00D46087" w:rsidRPr="00C1340D" w:rsidRDefault="00195BC0" w:rsidP="00D46087">
      <w:pPr>
        <w:spacing w:line="480" w:lineRule="auto"/>
        <w:jc w:val="both"/>
        <w:rPr>
          <w:color w:val="000000"/>
        </w:rPr>
      </w:pPr>
    </w:p>
    <w:p w:rsidR="00D46087" w:rsidRPr="00C1340D" w:rsidRDefault="00195BC0" w:rsidP="00D46087">
      <w:pPr>
        <w:spacing w:line="480" w:lineRule="auto"/>
        <w:jc w:val="both"/>
        <w:rPr>
          <w:color w:val="000000"/>
        </w:rPr>
      </w:pPr>
    </w:p>
    <w:p w:rsidR="00D46087" w:rsidRPr="00C1340D" w:rsidRDefault="00195BC0" w:rsidP="00D46087">
      <w:pPr>
        <w:spacing w:line="480" w:lineRule="auto"/>
        <w:jc w:val="both"/>
        <w:rPr>
          <w:color w:val="000000"/>
        </w:rPr>
      </w:pPr>
    </w:p>
    <w:p w:rsidR="00D46087" w:rsidRPr="00C1340D" w:rsidRDefault="00D54533" w:rsidP="00D46087">
      <w:pPr>
        <w:spacing w:line="480" w:lineRule="auto"/>
        <w:jc w:val="both"/>
        <w:rPr>
          <w:b/>
          <w:color w:val="000000"/>
        </w:rPr>
      </w:pPr>
      <w:r w:rsidRPr="00C1340D">
        <w:rPr>
          <w:b/>
          <w:color w:val="000000"/>
        </w:rPr>
        <w:lastRenderedPageBreak/>
        <w:t xml:space="preserve">Imaging and image processing </w:t>
      </w:r>
    </w:p>
    <w:p w:rsidR="00D46087" w:rsidRPr="00C1340D" w:rsidRDefault="00D54533" w:rsidP="00D46087">
      <w:pPr>
        <w:spacing w:line="480" w:lineRule="auto"/>
        <w:jc w:val="both"/>
        <w:rPr>
          <w:color w:val="000000"/>
        </w:rPr>
      </w:pPr>
      <w:r w:rsidRPr="00C1340D">
        <w:rPr>
          <w:color w:val="000000"/>
        </w:rPr>
        <w:t>For E2.5–E5.5 embryos a 40x oil Plan-Apochomat  NA 1,3 objective (Zeiss) was used. E6.5-E7.5 embryos were acquired using a 25x oil Plan-Apochomat  NA 0,8 objective (Zeiss). E8.5 embryos were acquired using 10x objective. The acquisition software used was ZEN (Zeiss). Image stacks were performed using ImageJ software (</w:t>
      </w:r>
      <w:hyperlink r:id="rId7" w:tgtFrame="_blank" w:history="1">
        <w:r w:rsidRPr="00C1340D">
          <w:rPr>
            <w:color w:val="000000"/>
          </w:rPr>
          <w:t>http://rsbweb.nih.gov/ij/</w:t>
        </w:r>
      </w:hyperlink>
      <w:r w:rsidRPr="00C1340D">
        <w:rPr>
          <w:color w:val="000000"/>
        </w:rPr>
        <w:t xml:space="preserve">). </w:t>
      </w:r>
    </w:p>
    <w:p w:rsidR="00D46087" w:rsidRPr="00C1340D" w:rsidRDefault="00195BC0" w:rsidP="00D46087">
      <w:pPr>
        <w:spacing w:line="480" w:lineRule="auto"/>
        <w:jc w:val="both"/>
      </w:pPr>
    </w:p>
    <w:p w:rsidR="00D46087" w:rsidRPr="00C1340D" w:rsidRDefault="00D54533" w:rsidP="00D46087">
      <w:pPr>
        <w:spacing w:line="480" w:lineRule="auto"/>
        <w:jc w:val="both"/>
        <w:rPr>
          <w:b/>
          <w:color w:val="000000"/>
        </w:rPr>
      </w:pPr>
      <w:r w:rsidRPr="00C1340D">
        <w:rPr>
          <w:b/>
          <w:color w:val="000000"/>
        </w:rPr>
        <w:t xml:space="preserve">RT-PCR primers: </w:t>
      </w:r>
    </w:p>
    <w:p w:rsidR="00D46087" w:rsidRPr="00C1340D" w:rsidRDefault="00D54533" w:rsidP="00D46087">
      <w:pPr>
        <w:spacing w:line="480" w:lineRule="auto"/>
        <w:jc w:val="both"/>
      </w:pPr>
      <w:r w:rsidRPr="00C1340D">
        <w:t>Venus Forward: (5’- AAG GAC GAC GGC AAC TAC AA -3’)</w:t>
      </w:r>
    </w:p>
    <w:p w:rsidR="00D46087" w:rsidRPr="00C1340D" w:rsidRDefault="00D54533" w:rsidP="00D46087">
      <w:pPr>
        <w:spacing w:line="480" w:lineRule="auto"/>
        <w:jc w:val="both"/>
      </w:pPr>
      <w:r w:rsidRPr="00C1340D">
        <w:t>Venus Reverse: (5’- AAG TCG ATG CCC TTC AGC TC -3’)</w:t>
      </w:r>
    </w:p>
    <w:p w:rsidR="00D46087" w:rsidRPr="00C1340D" w:rsidRDefault="00D54533" w:rsidP="00D46087">
      <w:pPr>
        <w:spacing w:line="480" w:lineRule="auto"/>
        <w:jc w:val="both"/>
      </w:pPr>
      <w:r w:rsidRPr="00C1340D">
        <w:t>Nodal</w:t>
      </w:r>
      <w:r w:rsidRPr="00C1340D">
        <w:tab/>
        <w:t>Forward: (5’- CTG TGA GGG CGA GTG TCC TA -3’)</w:t>
      </w:r>
    </w:p>
    <w:p w:rsidR="00D46087" w:rsidRPr="00C1340D" w:rsidRDefault="00D54533" w:rsidP="00D46087">
      <w:pPr>
        <w:spacing w:line="480" w:lineRule="auto"/>
        <w:jc w:val="both"/>
      </w:pPr>
      <w:r w:rsidRPr="00C1340D">
        <w:t>Nodal Reverse: (5’- CAG TGG CTT GGT CTT CAC GG -3’)</w:t>
      </w:r>
    </w:p>
    <w:p w:rsidR="00D46087" w:rsidRPr="00C1340D" w:rsidRDefault="00D54533" w:rsidP="00D46087">
      <w:pPr>
        <w:spacing w:line="480" w:lineRule="auto"/>
        <w:jc w:val="both"/>
      </w:pPr>
      <w:r w:rsidRPr="00C1340D">
        <w:t>GAPDH Forward: (5’- TTC AAC AGC AAC TCC CAC TCT TC -3’)</w:t>
      </w:r>
    </w:p>
    <w:p w:rsidR="00D46087" w:rsidRPr="00C1340D" w:rsidRDefault="00D54533" w:rsidP="00D46087">
      <w:pPr>
        <w:spacing w:line="480" w:lineRule="auto"/>
        <w:jc w:val="both"/>
      </w:pPr>
      <w:r w:rsidRPr="00C1340D">
        <w:t>GAPDH Reverse: (5’- CCC TGT TGC TGT AGC CGT ATT C -3’)</w:t>
      </w:r>
    </w:p>
    <w:p w:rsidR="00D46087" w:rsidRPr="00C1340D" w:rsidRDefault="00D54533" w:rsidP="00D46087">
      <w:pPr>
        <w:spacing w:line="480" w:lineRule="auto"/>
        <w:jc w:val="both"/>
      </w:pPr>
      <w:r w:rsidRPr="00C1340D">
        <w:t>POU5f1 (oct4) Forward: (5’- AGT TGG CGT GGA GAC TTT GC -3’)</w:t>
      </w:r>
    </w:p>
    <w:p w:rsidR="00D46087" w:rsidRPr="00C1340D" w:rsidRDefault="00D54533" w:rsidP="00D46087">
      <w:pPr>
        <w:spacing w:line="480" w:lineRule="auto"/>
        <w:jc w:val="both"/>
      </w:pPr>
      <w:r w:rsidRPr="00C1340D">
        <w:t>POU5f1 Reverse: (5’- CAG GGC TTT CAT GTC CTG G -3’)</w:t>
      </w:r>
    </w:p>
    <w:p w:rsidR="00D46087" w:rsidRPr="00C1340D" w:rsidRDefault="00D54533" w:rsidP="00D46087">
      <w:pPr>
        <w:spacing w:line="480" w:lineRule="auto"/>
        <w:jc w:val="both"/>
      </w:pPr>
      <w:r w:rsidRPr="00C1340D">
        <w:t>KLF4</w:t>
      </w:r>
      <w:r w:rsidRPr="00C1340D">
        <w:tab/>
        <w:t>Forward: (5’- GGA AGG GAG AAG ACA CTG CG -3’)</w:t>
      </w:r>
    </w:p>
    <w:p w:rsidR="00D46087" w:rsidRPr="00C1340D" w:rsidRDefault="00D54533" w:rsidP="00D46087">
      <w:pPr>
        <w:spacing w:line="480" w:lineRule="auto"/>
        <w:jc w:val="both"/>
      </w:pPr>
      <w:r w:rsidRPr="00C1340D">
        <w:t>KLF4 Reverse: (5’- ATG TGA GAG AGT TCC TCA CGC C -3’)</w:t>
      </w:r>
    </w:p>
    <w:p w:rsidR="00D46087" w:rsidRPr="00C1340D" w:rsidRDefault="00D54533" w:rsidP="00D46087">
      <w:pPr>
        <w:spacing w:line="480" w:lineRule="auto"/>
        <w:jc w:val="both"/>
      </w:pPr>
      <w:r w:rsidRPr="00C1340D">
        <w:t>FGF5</w:t>
      </w:r>
      <w:r w:rsidRPr="00C1340D">
        <w:tab/>
        <w:t>Forward: (5’- TGT ACT GCA GAG TGG GCA TC -3’)</w:t>
      </w:r>
    </w:p>
    <w:p w:rsidR="00D46087" w:rsidRPr="00C1340D" w:rsidRDefault="00D54533" w:rsidP="00D46087">
      <w:pPr>
        <w:spacing w:line="480" w:lineRule="auto"/>
        <w:jc w:val="both"/>
      </w:pPr>
      <w:r w:rsidRPr="00C1340D">
        <w:t>FGF5 Reverse: (5’- ACA ATC CCC TGA GAC ACA GC -3’)</w:t>
      </w:r>
    </w:p>
    <w:p w:rsidR="00D46087" w:rsidRPr="00C1340D" w:rsidRDefault="00D54533" w:rsidP="00D46087">
      <w:pPr>
        <w:spacing w:line="480" w:lineRule="auto"/>
        <w:jc w:val="both"/>
      </w:pPr>
      <w:r w:rsidRPr="00C1340D">
        <w:t>Brachyury Forward: (5’- CCA GCT CTA AGG AAC CAC CG -3’)</w:t>
      </w:r>
    </w:p>
    <w:p w:rsidR="00D46087" w:rsidRPr="00C1340D" w:rsidRDefault="00D54533" w:rsidP="00D46087">
      <w:pPr>
        <w:spacing w:line="480" w:lineRule="auto"/>
        <w:jc w:val="both"/>
      </w:pPr>
      <w:r w:rsidRPr="00C1340D">
        <w:t>Brachyury Reverse: (5’- ACT CCG AGG CTA GAC CAG TT -3’)</w:t>
      </w:r>
    </w:p>
    <w:p w:rsidR="00D46087" w:rsidRPr="00C1340D" w:rsidRDefault="00195BC0"/>
    <w:p w:rsidR="00D46087" w:rsidRPr="00C1340D" w:rsidRDefault="00D54533" w:rsidP="00D46087">
      <w:pPr>
        <w:spacing w:line="480" w:lineRule="auto"/>
        <w:rPr>
          <w:b/>
        </w:rPr>
      </w:pPr>
      <w:r w:rsidRPr="00C1340D">
        <w:rPr>
          <w:b/>
        </w:rPr>
        <w:t>ChIP Primers :</w:t>
      </w:r>
    </w:p>
    <w:p w:rsidR="00D46087" w:rsidRPr="00C1340D" w:rsidRDefault="00D54533" w:rsidP="00D46087">
      <w:pPr>
        <w:spacing w:line="480" w:lineRule="auto"/>
        <w:jc w:val="both"/>
      </w:pPr>
      <w:r w:rsidRPr="00C1340D">
        <w:t>Nodal Region 1 Forward: (5’-</w:t>
      </w:r>
      <w:r w:rsidRPr="00C1340D">
        <w:rPr>
          <w:rFonts w:eastAsia="Times New Roman"/>
          <w:noProof w:val="0"/>
          <w:color w:val="000000"/>
          <w:szCs w:val="24"/>
        </w:rPr>
        <w:t xml:space="preserve"> GGGGAAGCACCATGAGTTGA</w:t>
      </w:r>
      <w:r w:rsidRPr="00C1340D">
        <w:t xml:space="preserve"> -3’)</w:t>
      </w:r>
    </w:p>
    <w:p w:rsidR="00D46087" w:rsidRPr="00C1340D" w:rsidRDefault="00D54533" w:rsidP="00D46087">
      <w:pPr>
        <w:spacing w:line="480" w:lineRule="auto"/>
        <w:jc w:val="both"/>
      </w:pPr>
      <w:r w:rsidRPr="00C1340D">
        <w:t xml:space="preserve">Nodal Region 1 Reverse: (5’- </w:t>
      </w:r>
      <w:r w:rsidRPr="00C1340D">
        <w:rPr>
          <w:rFonts w:eastAsia="Times New Roman"/>
          <w:noProof w:val="0"/>
          <w:color w:val="000000"/>
          <w:szCs w:val="24"/>
        </w:rPr>
        <w:t>CCCATGTCCAAGACACCTGA</w:t>
      </w:r>
      <w:r w:rsidRPr="00C1340D">
        <w:t xml:space="preserve"> -3’)</w:t>
      </w:r>
    </w:p>
    <w:p w:rsidR="00D46087" w:rsidRPr="00C1340D" w:rsidRDefault="00D54533" w:rsidP="00D46087">
      <w:pPr>
        <w:spacing w:line="480" w:lineRule="auto"/>
        <w:jc w:val="both"/>
      </w:pPr>
      <w:r w:rsidRPr="00C1340D">
        <w:t>Nodal Region 2 Forward: (5’-</w:t>
      </w:r>
      <w:r w:rsidRPr="00C1340D">
        <w:rPr>
          <w:rFonts w:eastAsia="Times New Roman"/>
          <w:noProof w:val="0"/>
          <w:color w:val="000000"/>
          <w:szCs w:val="24"/>
        </w:rPr>
        <w:t xml:space="preserve"> GGATGAACTGGAGAGGACCG</w:t>
      </w:r>
      <w:r w:rsidRPr="00C1340D">
        <w:t xml:space="preserve"> -3’)</w:t>
      </w:r>
    </w:p>
    <w:p w:rsidR="00D46087" w:rsidRPr="00C1340D" w:rsidRDefault="00D54533" w:rsidP="00D46087">
      <w:pPr>
        <w:spacing w:line="480" w:lineRule="auto"/>
        <w:jc w:val="both"/>
      </w:pPr>
      <w:r w:rsidRPr="00C1340D">
        <w:lastRenderedPageBreak/>
        <w:t>Nodal Region 2 Reverse: (5’-</w:t>
      </w:r>
      <w:r w:rsidRPr="00C1340D">
        <w:rPr>
          <w:rFonts w:eastAsia="Times New Roman"/>
          <w:noProof w:val="0"/>
          <w:color w:val="000000"/>
          <w:szCs w:val="24"/>
        </w:rPr>
        <w:t xml:space="preserve"> CTACCTCGGGAAGTCTCCCT</w:t>
      </w:r>
      <w:r w:rsidRPr="00C1340D">
        <w:t xml:space="preserve"> -3’)</w:t>
      </w:r>
    </w:p>
    <w:p w:rsidR="00D46087" w:rsidRPr="00C1340D" w:rsidRDefault="00D54533" w:rsidP="00D46087">
      <w:pPr>
        <w:spacing w:line="480" w:lineRule="auto"/>
        <w:jc w:val="both"/>
      </w:pPr>
      <w:r w:rsidRPr="00C1340D">
        <w:t>Nodal Region3 Forward: (5’-</w:t>
      </w:r>
      <w:r w:rsidRPr="00C1340D">
        <w:rPr>
          <w:rFonts w:eastAsia="Times New Roman"/>
          <w:noProof w:val="0"/>
          <w:color w:val="000000"/>
          <w:szCs w:val="24"/>
        </w:rPr>
        <w:t xml:space="preserve"> CCTGTTGGGCTCTACTCCAC</w:t>
      </w:r>
      <w:r w:rsidRPr="00C1340D">
        <w:t>-3’)</w:t>
      </w:r>
    </w:p>
    <w:p w:rsidR="00D46087" w:rsidRPr="00C1340D" w:rsidRDefault="00D54533" w:rsidP="00D46087">
      <w:pPr>
        <w:spacing w:line="480" w:lineRule="auto"/>
        <w:jc w:val="both"/>
      </w:pPr>
      <w:r w:rsidRPr="00C1340D">
        <w:t>Nodal Region 3 Reverse: (5’-</w:t>
      </w:r>
      <w:r w:rsidRPr="00C1340D">
        <w:rPr>
          <w:rFonts w:eastAsia="Times New Roman"/>
          <w:noProof w:val="0"/>
          <w:color w:val="000000"/>
          <w:szCs w:val="24"/>
        </w:rPr>
        <w:t xml:space="preserve"> GAGGCTCAACATGTACGCCA</w:t>
      </w:r>
      <w:r w:rsidRPr="00C1340D">
        <w:t xml:space="preserve"> -3’)</w:t>
      </w:r>
    </w:p>
    <w:p w:rsidR="00D46087" w:rsidRPr="00C1340D" w:rsidRDefault="00D54533" w:rsidP="00D46087">
      <w:pPr>
        <w:spacing w:line="480" w:lineRule="auto"/>
        <w:jc w:val="both"/>
      </w:pPr>
      <w:r w:rsidRPr="00C1340D">
        <w:t>Nodal Region 4 Forward: (5’-</w:t>
      </w:r>
      <w:r w:rsidRPr="00C1340D">
        <w:rPr>
          <w:rFonts w:eastAsia="Times New Roman"/>
          <w:noProof w:val="0"/>
          <w:color w:val="000000"/>
          <w:szCs w:val="24"/>
        </w:rPr>
        <w:t xml:space="preserve"> GCCCATGTCTTGTGCCCAG</w:t>
      </w:r>
      <w:r w:rsidRPr="00C1340D">
        <w:t xml:space="preserve"> -3’)</w:t>
      </w:r>
    </w:p>
    <w:p w:rsidR="00D46087" w:rsidRPr="00C1340D" w:rsidRDefault="00D54533" w:rsidP="00D46087">
      <w:pPr>
        <w:spacing w:line="480" w:lineRule="auto"/>
        <w:jc w:val="both"/>
      </w:pPr>
      <w:r w:rsidRPr="00C1340D">
        <w:t>Nodal Region 4 Reverse: (5’-</w:t>
      </w:r>
      <w:r w:rsidRPr="00C1340D">
        <w:rPr>
          <w:rFonts w:eastAsia="Times New Roman"/>
          <w:noProof w:val="0"/>
          <w:color w:val="000000"/>
          <w:szCs w:val="24"/>
        </w:rPr>
        <w:t xml:space="preserve"> CATGTACGCCAGAGGGGAC</w:t>
      </w:r>
      <w:r w:rsidRPr="00C1340D">
        <w:t xml:space="preserve"> -3’)</w:t>
      </w:r>
    </w:p>
    <w:p w:rsidR="00D46087" w:rsidRPr="00C1340D" w:rsidRDefault="00D54533" w:rsidP="00D46087">
      <w:pPr>
        <w:spacing w:line="480" w:lineRule="auto"/>
        <w:jc w:val="both"/>
      </w:pPr>
      <w:r w:rsidRPr="00C1340D">
        <w:t>Nodal Region 5 Forward: (5’-</w:t>
      </w:r>
      <w:r w:rsidRPr="00C1340D">
        <w:rPr>
          <w:rFonts w:eastAsia="Times New Roman"/>
          <w:noProof w:val="0"/>
          <w:color w:val="000000"/>
          <w:szCs w:val="24"/>
        </w:rPr>
        <w:t xml:space="preserve"> CCCAGCGACCTGAGTGATG</w:t>
      </w:r>
      <w:r w:rsidRPr="00C1340D">
        <w:t xml:space="preserve"> -3’)</w:t>
      </w:r>
    </w:p>
    <w:p w:rsidR="00D46087" w:rsidRPr="0030132F" w:rsidRDefault="00D54533" w:rsidP="00D46087">
      <w:pPr>
        <w:spacing w:line="480" w:lineRule="auto"/>
        <w:jc w:val="both"/>
      </w:pPr>
      <w:r w:rsidRPr="00C1340D">
        <w:t>Nodal Region 5 Reverse: (5’-</w:t>
      </w:r>
      <w:r w:rsidRPr="00C1340D">
        <w:rPr>
          <w:rFonts w:eastAsia="Times New Roman"/>
          <w:noProof w:val="0"/>
          <w:color w:val="000000"/>
          <w:szCs w:val="24"/>
        </w:rPr>
        <w:t xml:space="preserve"> CCCAAGAGGCGAGATGTTGA</w:t>
      </w:r>
      <w:r w:rsidRPr="00C1340D">
        <w:t xml:space="preserve"> -3’)</w:t>
      </w:r>
    </w:p>
    <w:p w:rsidR="00D46087" w:rsidRDefault="00195BC0"/>
    <w:p w:rsidR="00D46087" w:rsidRDefault="00195BC0" w:rsidP="00D46087">
      <w:pPr>
        <w:spacing w:line="480" w:lineRule="auto"/>
        <w:jc w:val="both"/>
      </w:pPr>
    </w:p>
    <w:p w:rsidR="00D46087" w:rsidRDefault="00195BC0" w:rsidP="00D46087">
      <w:pPr>
        <w:spacing w:line="480" w:lineRule="auto"/>
        <w:jc w:val="both"/>
      </w:pPr>
      <w:r>
        <w:t>References</w:t>
      </w:r>
    </w:p>
    <w:p w:rsidR="00195BC0" w:rsidRPr="00C1340D" w:rsidRDefault="00195BC0" w:rsidP="00195BC0">
      <w:pPr>
        <w:ind w:left="720" w:hanging="720"/>
        <w:jc w:val="both"/>
      </w:pPr>
      <w:r>
        <w:t>1</w:t>
      </w:r>
      <w:r w:rsidRPr="00C1340D">
        <w:t>. Mezger V, Bensaude O, Morange M (1989) Unusual levels of heat shock element-binding activity in embryonal carcinoma cells. Mol Cell Biol 9: 3888-3896.</w:t>
      </w:r>
    </w:p>
    <w:p w:rsidR="00195BC0" w:rsidRPr="00C1340D" w:rsidRDefault="00195BC0" w:rsidP="00195BC0">
      <w:pPr>
        <w:ind w:left="720" w:hanging="720"/>
        <w:jc w:val="both"/>
      </w:pPr>
      <w:r>
        <w:t>2</w:t>
      </w:r>
      <w:r w:rsidRPr="00C1340D">
        <w:t>. Rallu M, Loones M, Lallemand Y, Morimoto R, Morange M, et al. (1997) Function and regulation of heat shock factor 2 during mouse embryogenesis. Proc Natl Acad Sci U S A 94: 2392-2397.</w:t>
      </w:r>
    </w:p>
    <w:p w:rsidR="00195BC0" w:rsidRDefault="00195BC0" w:rsidP="00D46087">
      <w:pPr>
        <w:spacing w:line="480" w:lineRule="auto"/>
        <w:jc w:val="both"/>
      </w:pPr>
    </w:p>
    <w:p w:rsidR="00D46087" w:rsidRDefault="00195BC0">
      <w:bookmarkStart w:id="0" w:name="_GoBack"/>
      <w:bookmarkEnd w:id="0"/>
    </w:p>
    <w:sectPr w:rsidR="00D46087">
      <w:footerReference w:type="default" r:id="rId8"/>
      <w:pgSz w:w="11900" w:h="16840"/>
      <w:pgMar w:top="1418" w:right="1418" w:bottom="1418" w:left="1418" w:header="709" w:footer="709" w:gutter="0"/>
      <w:lnNumType w:countBy="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CF" w:rsidRDefault="00D54533">
      <w:r>
        <w:separator/>
      </w:r>
    </w:p>
  </w:endnote>
  <w:endnote w:type="continuationSeparator" w:id="0">
    <w:p w:rsidR="00E303CF" w:rsidRDefault="00D5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87" w:rsidRDefault="00D54533">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195BC0">
      <w:rPr>
        <w:rStyle w:val="PageNumber"/>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CF" w:rsidRDefault="00D54533">
      <w:r>
        <w:separator/>
      </w:r>
    </w:p>
  </w:footnote>
  <w:footnote w:type="continuationSeparator" w:id="0">
    <w:p w:rsidR="00E303CF" w:rsidRDefault="00D54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25"/>
    <w:rsid w:val="00195BC0"/>
    <w:rsid w:val="00D54533"/>
    <w:rsid w:val="00E303CF"/>
    <w:rsid w:val="00FC5F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87"/>
    <w:rPr>
      <w:rFonts w:ascii="Times" w:eastAsia="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46087"/>
    <w:rPr>
      <w:sz w:val="16"/>
    </w:rPr>
  </w:style>
  <w:style w:type="paragraph" w:styleId="Footer">
    <w:name w:val="footer"/>
    <w:basedOn w:val="Normal"/>
    <w:rsid w:val="00D46087"/>
    <w:pPr>
      <w:tabs>
        <w:tab w:val="center" w:pos="4536"/>
        <w:tab w:val="right" w:pos="9072"/>
      </w:tabs>
    </w:pPr>
  </w:style>
  <w:style w:type="character" w:styleId="LineNumber">
    <w:name w:val="line number"/>
    <w:basedOn w:val="DefaultParagraphFont"/>
    <w:rsid w:val="00D46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87"/>
    <w:rPr>
      <w:rFonts w:ascii="Times" w:eastAsia="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46087"/>
    <w:rPr>
      <w:sz w:val="16"/>
    </w:rPr>
  </w:style>
  <w:style w:type="paragraph" w:styleId="Footer">
    <w:name w:val="footer"/>
    <w:basedOn w:val="Normal"/>
    <w:rsid w:val="00D46087"/>
    <w:pPr>
      <w:tabs>
        <w:tab w:val="center" w:pos="4536"/>
        <w:tab w:val="right" w:pos="9072"/>
      </w:tabs>
    </w:pPr>
  </w:style>
  <w:style w:type="character" w:styleId="LineNumber">
    <w:name w:val="line number"/>
    <w:basedOn w:val="DefaultParagraphFont"/>
    <w:rsid w:val="00D4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sbweb.nih.gov/i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993</Words>
  <Characters>6592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Supplementary Materials and Methods</vt:lpstr>
    </vt:vector>
  </TitlesOfParts>
  <Company>Institut jacques Monod</Company>
  <LinksUpToDate>false</LinksUpToDate>
  <CharactersWithSpaces>7570</CharactersWithSpaces>
  <SharedDoc>false</SharedDoc>
  <HLinks>
    <vt:vector size="6" baseType="variant">
      <vt:variant>
        <vt:i4>4063261</vt:i4>
      </vt:variant>
      <vt:variant>
        <vt:i4>8</vt:i4>
      </vt:variant>
      <vt:variant>
        <vt:i4>0</vt:i4>
      </vt:variant>
      <vt:variant>
        <vt:i4>5</vt:i4>
      </vt:variant>
      <vt:variant>
        <vt:lpwstr>http://rsbweb.nih.gov/ij/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 and Methods</dc:title>
  <dc:subject/>
  <dc:creator>Costis Papanayotou</dc:creator>
  <cp:keywords/>
  <cp:lastModifiedBy>Claire McLaughlan</cp:lastModifiedBy>
  <cp:revision>3</cp:revision>
  <cp:lastPrinted>2014-05-14T08:54:00Z</cp:lastPrinted>
  <dcterms:created xsi:type="dcterms:W3CDTF">2014-05-14T08:54:00Z</dcterms:created>
  <dcterms:modified xsi:type="dcterms:W3CDTF">2014-05-15T14:57:00Z</dcterms:modified>
</cp:coreProperties>
</file>